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1F517DA9" w:rsidR="00D24F8A" w:rsidRPr="00B225A8" w:rsidRDefault="00F719E1" w:rsidP="003802F4">
      <w:pPr>
        <w:tabs>
          <w:tab w:val="left" w:pos="5954"/>
        </w:tabs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3802F4">
        <w:t>Wprowadzenie do kognitywistyki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44FE9BA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0+ESn3gAAAAgBAAAPAAAA&#10;ZHJzL2Rvd25yZXYueG1sTI/NTsMwEITvSLyDtUhcELWpCKrSOBU/qnoAhGh4ADdekoh4HcVOmvL0&#10;bLjAZaTRaGfnyzaTa8WIfWg8abhZKBBIpbcNVRo+iu31CkSIhqxpPaGGEwbY5OdnmUmtP9I7jvtY&#10;CS6hkBoNdYxdKmUoa3QmLHyHxNmn752JbPtK2t4cudy1cqnUnXSmIf5Qmw4fayy/9oPTsNs+4HNy&#10;Gqpbm+yKq7F4ef1+W2l9eTE9rVnu1yAiTvHvAmYG3g85Dzv4gWwQrQamib86Z2qpEhCH2cs8k/8B&#10;8h8AAAD//wMAUEsBAi0AFAAGAAgAAAAhALaDOJL+AAAA4QEAABMAAAAAAAAAAAAAAAAAAAAAAFtD&#10;b250ZW50X1R5cGVzXS54bWxQSwECLQAUAAYACAAAACEAOP0h/9YAAACUAQAACwAAAAAAAAAAAAAA&#10;AAAvAQAAX3JlbHMvLnJlbHNQSwECLQAUAAYACAAAACEAcEOBZcMBAADIAwAADgAAAAAAAAAAAAAA&#10;AAAuAgAAZHJzL2Uyb0RvYy54bWxQSwECLQAUAAYACAAAACEANPhEp94AAAAIAQAADwAAAAAAAAAA&#10;AAAAAAAdBAAAZHJzL2Rvd25yZXYueG1sUEsFBgAAAAAEAAQA8wAAACgFAAAAAA==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4625A8D0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8A0FF4">
        <w:t>1</w:t>
      </w:r>
      <w:r w:rsidR="00CA635F">
        <w:t>/</w:t>
      </w:r>
      <w:r w:rsidR="00F60D97">
        <w:t>2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55EDBB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0+ESn3gAAAAgBAAAPAAAA&#10;ZHJzL2Rvd25yZXYueG1sTI/NTsMwEITvSLyDtUhcELWpCKrSOBU/qnoAhGh4ADdekoh4HcVOmvL0&#10;bLjAZaTRaGfnyzaTa8WIfWg8abhZKBBIpbcNVRo+iu31CkSIhqxpPaGGEwbY5OdnmUmtP9I7jvtY&#10;CS6hkBoNdYxdKmUoa3QmLHyHxNmn752JbPtK2t4cudy1cqnUnXSmIf5Qmw4fayy/9oPTsNs+4HNy&#10;Gqpbm+yKq7F4ef1+W2l9eTE9rVnu1yAiTvHvAmYG3g85Dzv4gWwQrQamib86Z2qpEhCH2cs8k/8B&#10;8h8AAAD//wMAUEsBAi0AFAAGAAgAAAAhALaDOJL+AAAA4QEAABMAAAAAAAAAAAAAAAAAAAAAAFtD&#10;b250ZW50X1R5cGVzXS54bWxQSwECLQAUAAYACAAAACEAOP0h/9YAAACUAQAACwAAAAAAAAAAAAAA&#10;AAAvAQAAX3JlbHMvLnJlbHNQSwECLQAUAAYACAAAACEAiwXt3MMBAADIAwAADgAAAAAAAAAAAAAA&#10;AAAuAgAAZHJzL2Uyb0RvYy54bWxQSwECLQAUAAYACAAAACEANPhEp94AAAAIAQAADwAAAAAAAAAA&#10;AAAAAAAdBAAAZHJzL2Rvd25yZXYueG1sUEsFBgAAAAAEAAQA8wAAACgFAAAAAA==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71D8D35D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1F4CA8">
        <w:rPr>
          <w:noProof/>
        </w:rPr>
        <w:t>1</w:t>
      </w:r>
      <w:r w:rsidR="00DF6C0F">
        <w:rPr>
          <w:noProof/>
        </w:rPr>
        <w:t>6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1F4CA8">
        <w:rPr>
          <w:noProof/>
        </w:rPr>
        <w:t>1</w:t>
      </w:r>
      <w:r w:rsidR="00DF6C0F">
        <w:rPr>
          <w:noProof/>
        </w:rPr>
        <w:t>6</w:t>
      </w:r>
      <w:bookmarkStart w:id="5" w:name="_GoBack"/>
      <w:bookmarkEnd w:id="5"/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116141">
        <w:t> </w:t>
      </w:r>
      <w:r w:rsidR="00116141">
        <w:t> </w:t>
      </w:r>
      <w:r w:rsidR="00116141">
        <w:t> </w:t>
      </w:r>
      <w:r w:rsidR="00116141">
        <w:t> </w:t>
      </w:r>
      <w:r w:rsidR="00116141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116141">
        <w:t> </w:t>
      </w:r>
      <w:r w:rsidR="00116141">
        <w:t> </w:t>
      </w:r>
      <w:r w:rsidR="00116141">
        <w:t> </w:t>
      </w:r>
      <w:r w:rsidR="00116141">
        <w:t> </w:t>
      </w:r>
      <w:r w:rsidR="00116141"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116141">
        <w:t> </w:t>
      </w:r>
      <w:r w:rsidR="00116141">
        <w:t> </w:t>
      </w:r>
      <w:r w:rsidR="00116141">
        <w:t> </w:t>
      </w:r>
      <w:r w:rsidR="00116141">
        <w:t> </w:t>
      </w:r>
      <w:r w:rsidR="00116141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7986BCC2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1F4CA8">
        <w:rPr>
          <w:noProof/>
        </w:rPr>
        <w:t>3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195EC2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0+ESn3gAAAAgBAAAPAAAA&#10;ZHJzL2Rvd25yZXYueG1sTI/NTsMwEITvSLyDtUhcELWpCKrSOBU/qnoAhGh4ADdekoh4HcVOmvL0&#10;bLjAZaTRaGfnyzaTa8WIfWg8abhZKBBIpbcNVRo+iu31CkSIhqxpPaGGEwbY5OdnmUmtP9I7jvtY&#10;CS6hkBoNdYxdKmUoa3QmLHyHxNmn752JbPtK2t4cudy1cqnUnXSmIf5Qmw4fayy/9oPTsNs+4HNy&#10;Gqpbm+yKq7F4ef1+W2l9eTE9rVnu1yAiTvHvAmYG3g85Dzv4gWwQrQamib86Z2qpEhCH2cs8k/8B&#10;8h8AAAD//wMAUEsBAi0AFAAGAAgAAAAhALaDOJL+AAAA4QEAABMAAAAAAAAAAAAAAAAAAAAAAFtD&#10;b250ZW50X1R5cGVzXS54bWxQSwECLQAUAAYACAAAACEAOP0h/9YAAACUAQAACwAAAAAAAAAAAAAA&#10;AAAvAQAAX3JlbHMvLnJlbHNQSwECLQAUAAYACAAAACEAQJros8MBAADIAwAADgAAAAAAAAAAAAAA&#10;AAAuAgAAZHJzL2Uyb0RvYy54bWxQSwECLQAUAAYACAAAACEANPhEp94AAAAIAQAADwAAAAAAAAAA&#10;AAAAAAAdBAAAZHJzL2Rvd25yZXYueG1sUEsFBgAAAAAEAAQA8wAAACgFAAAAAA==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1C83ECE2" w14:textId="77777777" w:rsidR="003A3D32" w:rsidRPr="003A3D32" w:rsidRDefault="00361008" w:rsidP="003A3D32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A3D32" w:rsidRPr="003A3D32">
        <w:t>dr hab. inż. Ewa Więcek-Janka</w:t>
      </w:r>
    </w:p>
    <w:p w14:paraId="0C234A5C" w14:textId="77777777" w:rsidR="003A3D32" w:rsidRPr="003A3D32" w:rsidRDefault="003A3D32" w:rsidP="003A3D32">
      <w:r w:rsidRPr="003A3D32">
        <w:t xml:space="preserve">e-mail: ewa.wiecek-janka@put.poznan.pl </w:t>
      </w:r>
    </w:p>
    <w:p w14:paraId="40E85E00" w14:textId="76FD4455" w:rsidR="003A3D32" w:rsidRPr="003A3D32" w:rsidRDefault="003A3D32" w:rsidP="003A3D32">
      <w:r w:rsidRPr="003A3D32">
        <w:t>tel. 61 665 3</w:t>
      </w:r>
      <w:r w:rsidR="00BE043C">
        <w:t>392</w:t>
      </w:r>
    </w:p>
    <w:p w14:paraId="2D6AF0C8" w14:textId="77777777" w:rsidR="003A3D32" w:rsidRPr="003A3D32" w:rsidRDefault="003A3D32" w:rsidP="003A3D32">
      <w:r w:rsidRPr="003A3D32">
        <w:t>Wydział Inzynierii Zarządzania</w:t>
      </w:r>
    </w:p>
    <w:p w14:paraId="38F77383" w14:textId="02736DED" w:rsidR="003A3D32" w:rsidRDefault="003A3D32" w:rsidP="003A3D32">
      <w:r w:rsidRPr="003A3D32">
        <w:t>ul. Rychlewskiego 2, Poznań</w:t>
      </w:r>
    </w:p>
    <w:p w14:paraId="19499BD5" w14:textId="77777777" w:rsidR="003A3D32" w:rsidRDefault="003A3D32" w:rsidP="003A3D32"/>
    <w:p w14:paraId="7202315D" w14:textId="77777777" w:rsidR="003A3D32" w:rsidRDefault="003A3D32" w:rsidP="003A3D32"/>
    <w:p w14:paraId="7CD903A8" w14:textId="37EBF426" w:rsidR="003A3D32" w:rsidRPr="003A3D32" w:rsidRDefault="003A3D32" w:rsidP="003A3D32">
      <w:r w:rsidRPr="003A3D32">
        <w:t xml:space="preserve">dr inż. Rafadr inż. Rafał Mierzwiak </w:t>
      </w:r>
    </w:p>
    <w:p w14:paraId="2C6E3A0B" w14:textId="77777777" w:rsidR="003A3D32" w:rsidRPr="003A3D32" w:rsidRDefault="003A3D32" w:rsidP="003A3D32">
      <w:r w:rsidRPr="003A3D32">
        <w:t xml:space="preserve">e-mail:  rafal.mierzwiak @put.poznan.pl </w:t>
      </w:r>
    </w:p>
    <w:p w14:paraId="3050C297" w14:textId="1CAEEFBA" w:rsidR="003A3D32" w:rsidRPr="00BE043C" w:rsidRDefault="003A3D32" w:rsidP="003A3D32">
      <w:pPr>
        <w:rPr>
          <w:lang w:val="en-US"/>
        </w:rPr>
      </w:pPr>
      <w:r w:rsidRPr="00BE043C">
        <w:rPr>
          <w:lang w:val="en-US"/>
        </w:rPr>
        <w:t>tel. 61 665 3</w:t>
      </w:r>
      <w:r w:rsidR="00BE043C" w:rsidRPr="00BE043C">
        <w:rPr>
          <w:lang w:val="en-US"/>
        </w:rPr>
        <w:t>3</w:t>
      </w:r>
      <w:r w:rsidR="00BE043C">
        <w:t>92</w:t>
      </w:r>
    </w:p>
    <w:p w14:paraId="20270ABA" w14:textId="637EF5E0" w:rsidR="003A3D32" w:rsidRPr="00BE043C" w:rsidRDefault="003A3D32" w:rsidP="003A3D32">
      <w:pPr>
        <w:rPr>
          <w:lang w:val="en-US"/>
        </w:rPr>
      </w:pPr>
      <w:r w:rsidRPr="00BE043C">
        <w:rPr>
          <w:lang w:val="en-US"/>
        </w:rPr>
        <w:t xml:space="preserve"> e-mail:  rafal.mierzwiak @put.poznan.pl </w:t>
      </w:r>
    </w:p>
    <w:p w14:paraId="14D33F17" w14:textId="434939DA" w:rsidR="003A3D32" w:rsidRDefault="003A3D32" w:rsidP="003A3D32"/>
    <w:p w14:paraId="0E8A1A85" w14:textId="77777777" w:rsidR="00F064F5" w:rsidRDefault="00F064F5" w:rsidP="003A3D32"/>
    <w:p w14:paraId="12E56BEC" w14:textId="77777777" w:rsidR="00F064F5" w:rsidRPr="003A3D32" w:rsidRDefault="00F064F5" w:rsidP="003A3D32"/>
    <w:p w14:paraId="4294A001" w14:textId="124E265C" w:rsidR="003A3D32" w:rsidRPr="003A3D32" w:rsidRDefault="003A3D32" w:rsidP="003A3D32">
      <w:r w:rsidRPr="003A3D32">
        <w:t xml:space="preserve">dr inż. Joanna Majchrzak </w:t>
      </w:r>
    </w:p>
    <w:p w14:paraId="5ACB2CF0" w14:textId="77777777" w:rsidR="003A3D32" w:rsidRPr="003A3D32" w:rsidRDefault="003A3D32" w:rsidP="003A3D32">
      <w:r w:rsidRPr="003A3D32">
        <w:t xml:space="preserve"> e-mail: rafal.mierzwiak @put.poznan.pl </w:t>
      </w:r>
    </w:p>
    <w:p w14:paraId="07978965" w14:textId="69511112" w:rsidR="003A3D32" w:rsidRDefault="003A3D32" w:rsidP="003A3D32">
      <w:r w:rsidRPr="003A3D32">
        <w:t>tel. 61 665 3</w:t>
      </w:r>
      <w:r w:rsidR="00BE043C">
        <w:t>392</w:t>
      </w:r>
    </w:p>
    <w:p w14:paraId="641F9AA1" w14:textId="77777777" w:rsidR="003A3D32" w:rsidRPr="003A3D32" w:rsidRDefault="003A3D32" w:rsidP="003A3D32">
      <w:r w:rsidRPr="003A3D32">
        <w:t>Wydział Inzynierii Zarządzania</w:t>
      </w:r>
    </w:p>
    <w:p w14:paraId="60581A24" w14:textId="2B7BEC54" w:rsidR="001C3A9C" w:rsidRDefault="003A3D32" w:rsidP="003A3D32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3A3D32">
        <w:t>ul. Rychlewskiego 2, Poznań</w:t>
      </w:r>
      <w:r w:rsidR="009F22E0"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lastRenderedPageBreak/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04D2D">
        <w:t> </w:t>
      </w:r>
      <w:r w:rsidR="00304D2D">
        <w:t> </w:t>
      </w:r>
      <w:r w:rsidR="00304D2D">
        <w:t> </w:t>
      </w:r>
      <w:r w:rsidR="00304D2D">
        <w:t> </w:t>
      </w:r>
      <w:r w:rsidR="00304D2D">
        <w:t> </w:t>
      </w:r>
      <w:r w:rsidR="009F22E0" w:rsidRPr="009F22E0">
        <w:fldChar w:fldCharType="end"/>
      </w:r>
    </w:p>
    <w:p w14:paraId="2EEFCEBD" w14:textId="3ECC0AE6"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55B24E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DT4RKfeAAAACAEAAA8AAABk&#10;cnMvZG93bnJldi54bWxMj81OwzAQhO9IvIO1SFwQtakIqtI4FT+qegCEaHgAN16SiHgdxU6a8vRs&#10;uMBlpNFoZ+fLNpNrxYh9aDxpuFkoEEiltw1VGj6K7fUKRIiGrGk9oYYTBtjk52eZSa0/0juO+1gJ&#10;LqGQGg11jF0qZShrdCYsfIfE2afvnYls+0ra3hy53LVyqdSddKYh/lCbDh9rLL/2g9Ow2z7gc3Ia&#10;qlub7IqrsXh5/X5baX15MT2tWe7XICJO8e8CZgbeDzkPO/iBbBCtBqaJvzpnaqkSEIfZyzyT/wHy&#10;HwAAAP//AwBQSwECLQAUAAYACAAAACEAtoM4kv4AAADhAQAAEwAAAAAAAAAAAAAAAAAAAAAAW0Nv&#10;bnRlbnRfVHlwZXNdLnhtbFBLAQItABQABgAIAAAAIQA4/SH/1gAAAJQBAAALAAAAAAAAAAAAAAAA&#10;AC8BAABfcmVscy8ucmVsc1BLAQItABQABgAIAAAAIQAt44/UwgEAAMgDAAAOAAAAAAAAAAAAAAAA&#10;AC4CAABkcnMvZTJvRG9jLnhtbFBLAQItABQABgAIAAAAIQA0+ESn3gAAAAgBAAAPAAAAAAAAAAAA&#10;AAAAABwEAABkcnMvZG93bnJldi54bWxQSwUGAAAAAAQABADzAAAAJwUAAAAA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802F4">
        <w:t>Student posiada umiejętności inzynierskie, potrafi pracować w grupie, wyciąga wni</w:t>
      </w:r>
      <w:r w:rsidR="002245DB">
        <w:t>o</w:t>
      </w:r>
      <w:r w:rsidR="003802F4">
        <w:t>ski na podstawie materiału naukowego i badawczego</w:t>
      </w:r>
      <w:r w:rsidR="009F22E0" w:rsidRPr="009F22E0">
        <w:fldChar w:fldCharType="end"/>
      </w:r>
    </w:p>
    <w:p w14:paraId="40DB0592" w14:textId="0C8EB994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802F4">
        <w:t>Zapoznanie studentów z dostępnym zakresem</w:t>
      </w:r>
      <w:r w:rsidR="003802F4" w:rsidRPr="003802F4">
        <w:t xml:space="preserve"> wiedzy o umyśle </w:t>
      </w:r>
      <w:r w:rsidR="003802F4">
        <w:t xml:space="preserve">i </w:t>
      </w:r>
      <w:r w:rsidR="003802F4" w:rsidRPr="003802F4">
        <w:t xml:space="preserve"> próbą zrozumienia człowieka wykorzystującą wiedzę pochodzącą z wielu dziedzin i źródeł.</w:t>
      </w:r>
      <w:r w:rsidR="009F22E0" w:rsidRPr="009F22E0">
        <w:fldChar w:fldCharType="end"/>
      </w:r>
    </w:p>
    <w:p w14:paraId="2D7194DF" w14:textId="74D3ED40" w:rsidR="00361008" w:rsidRPr="0053341E" w:rsidRDefault="001E3210">
      <w:pPr>
        <w:rPr>
          <w:rStyle w:val="Poleformualrza"/>
          <w:sz w:val="24"/>
          <w:szCs w:val="24"/>
        </w:rPr>
      </w:pPr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7E7D4A">
        <w:t xml:space="preserve">Ma wiedzę, </w:t>
      </w:r>
      <w:r w:rsidR="003802F4">
        <w:t>na czym polega proces poznawczy i jaki ma wpływ na otoczenie gospodarcze</w:t>
      </w:r>
      <w:r w:rsidR="00A7352A">
        <w:t xml:space="preserve">, w tym działalność firm </w:t>
      </w:r>
      <w:r w:rsidR="00A7352A" w:rsidRPr="00A7352A">
        <w:t>[K2st_W8] [K2st_W9]</w:t>
      </w:r>
      <w:r w:rsidR="003802F4">
        <w:t>.</w:t>
      </w:r>
      <w:r w:rsidR="009F22E0" w:rsidRPr="009F22E0">
        <w:fldChar w:fldCharType="end"/>
      </w:r>
    </w:p>
    <w:p w14:paraId="0486B14E" w14:textId="029611BC" w:rsidR="00F31AD5" w:rsidRDefault="00361008" w:rsidP="003802F4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31AD5">
        <w:t>Posiada umiejętność w</w:t>
      </w:r>
      <w:r w:rsidR="003802F4">
        <w:t>ykorzystani</w:t>
      </w:r>
      <w:r w:rsidR="00F31AD5">
        <w:t>a</w:t>
      </w:r>
      <w:r w:rsidR="003802F4">
        <w:t xml:space="preserve"> podej</w:t>
      </w:r>
      <w:r w:rsidR="00A7352A">
        <w:t>ś</w:t>
      </w:r>
      <w:r w:rsidR="003802F4">
        <w:t>ć: frenologia, introspekcja, sztuczna inteligencja, empiryczna teoria umysłu do opisu procesów poznawczych</w:t>
      </w:r>
      <w:r w:rsidR="00F31AD5">
        <w:t xml:space="preserve"> oraz </w:t>
      </w:r>
      <w:r w:rsidR="00F31AD5" w:rsidRPr="00F31AD5">
        <w:t>posługiwać się technikami informacyjno-komunikacyjnymi wykorzystywanymi przy realizacji przedsięwzięć informatycznych</w:t>
      </w:r>
      <w:r w:rsidR="00F31AD5">
        <w:t xml:space="preserve"> [K2st_U2]</w:t>
      </w:r>
      <w:r w:rsidR="00AD3A30">
        <w:t>.</w:t>
      </w:r>
    </w:p>
    <w:p w14:paraId="27256730" w14:textId="7C23DCD9" w:rsidR="00864F06" w:rsidRDefault="00864F06" w:rsidP="003802F4">
      <w:r>
        <w:t>P</w:t>
      </w:r>
      <w:r w:rsidRPr="00864F06">
        <w:t>otrafi porozumiewać się w języku polskim przy użyciu różnych technik w środowisku zawodowym oraz w innych środowiskach</w:t>
      </w:r>
      <w:r>
        <w:t xml:space="preserve"> [K2st_U11]</w:t>
      </w:r>
      <w:r w:rsidR="00AD3A30">
        <w:t>.</w:t>
      </w:r>
    </w:p>
    <w:p w14:paraId="7968F8E3" w14:textId="06DC6221" w:rsidR="00361008" w:rsidRPr="0053341E" w:rsidRDefault="00F31AD5">
      <w:pPr>
        <w:rPr>
          <w:rStyle w:val="Poleformualrza"/>
          <w:sz w:val="24"/>
          <w:szCs w:val="24"/>
        </w:rPr>
      </w:pPr>
      <w:r>
        <w:t>Potra</w:t>
      </w:r>
      <w:r w:rsidR="00864F06">
        <w:t>f</w:t>
      </w:r>
      <w:r>
        <w:t xml:space="preserve">i </w:t>
      </w:r>
      <w:r w:rsidR="003802F4">
        <w:t>wykorzysta</w:t>
      </w:r>
      <w:r>
        <w:t>ć</w:t>
      </w:r>
      <w:r w:rsidR="003802F4">
        <w:t xml:space="preserve"> wiedz</w:t>
      </w:r>
      <w:r w:rsidR="00864F06">
        <w:t>ę</w:t>
      </w:r>
      <w:r w:rsidR="003802F4">
        <w:t xml:space="preserve"> w opracowywaniu modeli funkcjonowania otoczenia  z wykorzystaniem SI</w:t>
      </w:r>
      <w:r w:rsidR="00874C22">
        <w:t xml:space="preserve"> [</w:t>
      </w:r>
      <w:r w:rsidR="00874C22" w:rsidRPr="00874C22">
        <w:t>K2st_U11</w:t>
      </w:r>
      <w:r w:rsidR="00874C22">
        <w:t>] [</w:t>
      </w:r>
      <w:r w:rsidR="00874C22" w:rsidRPr="00874C22">
        <w:t>K2st_U9</w:t>
      </w:r>
      <w:r w:rsidR="00874C22">
        <w:t>]</w:t>
      </w:r>
      <w:r w:rsidR="00AD3A30">
        <w:t>.</w:t>
      </w:r>
      <w:r w:rsidR="009F22E0" w:rsidRPr="009F22E0">
        <w:fldChar w:fldCharType="end"/>
      </w:r>
    </w:p>
    <w:p w14:paraId="4B21206A" w14:textId="1C9105BE" w:rsidR="00361008" w:rsidRPr="0053341E" w:rsidRDefault="00361008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AD3A30">
        <w:t>Z</w:t>
      </w:r>
      <w:r w:rsidR="003802F4">
        <w:t xml:space="preserve">na i wprowadza w </w:t>
      </w:r>
      <w:r w:rsidR="00AD3A30">
        <w:t>ż</w:t>
      </w:r>
      <w:r w:rsidR="003802F4">
        <w:t xml:space="preserve">ycie społeczne podstawowe normy i wartości. </w:t>
      </w:r>
      <w:r w:rsidR="00AD3A30">
        <w:t>W</w:t>
      </w:r>
      <w:r w:rsidR="003802F4">
        <w:t xml:space="preserve">spółpracuje z zespołem. </w:t>
      </w:r>
      <w:r w:rsidR="00AD3A30">
        <w:t>R</w:t>
      </w:r>
      <w:r w:rsidR="003802F4">
        <w:t>ealizuje zadania z zaangazowaniem i zgodnie z terminarzem</w:t>
      </w:r>
      <w:r w:rsidR="00874C22">
        <w:t xml:space="preserve"> [</w:t>
      </w:r>
      <w:r w:rsidR="00874C22" w:rsidRPr="00874C22">
        <w:t>K2st_K4</w:t>
      </w:r>
      <w:r w:rsidR="00874C22">
        <w:t>]</w:t>
      </w:r>
      <w:r w:rsidR="00897D32">
        <w:t xml:space="preserve"> [</w:t>
      </w:r>
      <w:r w:rsidR="00897D32" w:rsidRPr="00897D32">
        <w:t>K2st_K2</w:t>
      </w:r>
      <w:r w:rsidR="00897D32">
        <w:t>]</w:t>
      </w:r>
      <w:r w:rsidR="00AD3A30">
        <w:t>.</w:t>
      </w:r>
      <w:r w:rsidR="009F22E0" w:rsidRPr="009F22E0">
        <w:fldChar w:fldCharType="end"/>
      </w:r>
    </w:p>
    <w:p w14:paraId="61DBB451" w14:textId="5AB9A37A" w:rsidR="003802F4" w:rsidRDefault="00044237" w:rsidP="003802F4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802F4">
        <w:t xml:space="preserve">Zaliczenie wykładów: maksymalna ocena 100 pkt (50 punktów z </w:t>
      </w:r>
      <w:r w:rsidR="00144E37">
        <w:t xml:space="preserve">eseju </w:t>
      </w:r>
      <w:r w:rsidR="003802F4">
        <w:t xml:space="preserve"> plus 50 punktów z </w:t>
      </w:r>
      <w:r w:rsidR="00E94992">
        <w:t>pisemenego sprawdzianiu</w:t>
      </w:r>
      <w:r w:rsidR="003802F4">
        <w:t>)</w:t>
      </w:r>
    </w:p>
    <w:p w14:paraId="7E315E77" w14:textId="3CF9025E" w:rsidR="003802F4" w:rsidRDefault="003802F4" w:rsidP="009E3743">
      <w:r>
        <w:t xml:space="preserve">Ćwiczenia: </w:t>
      </w:r>
      <w:r w:rsidR="0083540A" w:rsidRPr="0083540A">
        <w:t xml:space="preserve">maksymalna ocena 100 pkt </w:t>
      </w:r>
      <w:r w:rsidR="0083540A">
        <w:t xml:space="preserve">( </w:t>
      </w:r>
      <w:r w:rsidR="009E3743">
        <w:t>u</w:t>
      </w:r>
      <w:r w:rsidR="009E3743" w:rsidRPr="009E3743">
        <w:t>czestnictwo i przygotowanie zespołowe debaty oksfordzkiej – 80 pkt</w:t>
      </w:r>
      <w:r w:rsidR="009E3743">
        <w:t>,  s</w:t>
      </w:r>
      <w:r w:rsidR="009E3743" w:rsidRPr="009E3743">
        <w:t xml:space="preserve">treszczenie argumentacji zespołu – 20pkt </w:t>
      </w:r>
    </w:p>
    <w:p w14:paraId="50E55767" w14:textId="689A223A" w:rsidR="005E1096" w:rsidRPr="0053341E" w:rsidRDefault="003802F4">
      <w:pPr>
        <w:rPr>
          <w:rStyle w:val="Poleformualrza"/>
          <w:sz w:val="24"/>
          <w:szCs w:val="24"/>
        </w:rPr>
      </w:pPr>
      <w:r>
        <w:t xml:space="preserve">Oceny: </w:t>
      </w:r>
      <w:r w:rsidR="00AD3A30">
        <w:t xml:space="preserve"> </w:t>
      </w:r>
      <w:r>
        <w:t>2.0 – do 50 punktów</w:t>
      </w:r>
      <w:r w:rsidR="00AD3A30">
        <w:t xml:space="preserve">, </w:t>
      </w:r>
      <w:r>
        <w:t>3.0 – od 51-60 punktów</w:t>
      </w:r>
      <w:r w:rsidR="00AD3A30">
        <w:t xml:space="preserve">, </w:t>
      </w:r>
      <w:r>
        <w:t>3,5 – od 61-70 punktów</w:t>
      </w:r>
      <w:r w:rsidR="00AD3A30">
        <w:t xml:space="preserve">, </w:t>
      </w:r>
      <w:r>
        <w:t>4,0 – od 71-80 punktów</w:t>
      </w:r>
      <w:r w:rsidR="00AD3A30">
        <w:t xml:space="preserve">, </w:t>
      </w:r>
      <w:r>
        <w:t>4,5 – od 81-90 punktów</w:t>
      </w:r>
      <w:r w:rsidR="00AD3A30">
        <w:t xml:space="preserve">, </w:t>
      </w:r>
      <w:r>
        <w:t>5,0 – od 91-100 punktów</w:t>
      </w:r>
      <w:r w:rsidR="00AD3A30">
        <w:t>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44E05DF8" w14:textId="77777777" w:rsidR="00990748" w:rsidRPr="00990748" w:rsidRDefault="009F22E0" w:rsidP="00990748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990748" w:rsidRPr="00990748">
        <w:t>Wprowadzenie do problematyki badań kognitywnych</w:t>
      </w:r>
    </w:p>
    <w:p w14:paraId="6E81BB9F" w14:textId="77777777" w:rsidR="00990748" w:rsidRPr="00990748" w:rsidRDefault="00990748" w:rsidP="00990748">
      <w:r w:rsidRPr="00990748">
        <w:t xml:space="preserve">Dwusystemowa koncepcja działania ludzkiego umysłu </w:t>
      </w:r>
    </w:p>
    <w:p w14:paraId="0207BC60" w14:textId="77777777" w:rsidR="00990748" w:rsidRPr="00990748" w:rsidRDefault="00990748" w:rsidP="00990748">
      <w:r w:rsidRPr="00990748">
        <w:t xml:space="preserve">Heurystyki i błędy poznawcze czyli o osądach w warunkach niepewności </w:t>
      </w:r>
    </w:p>
    <w:p w14:paraId="7DD25ADB" w14:textId="77777777" w:rsidR="00990748" w:rsidRPr="00990748" w:rsidRDefault="00990748" w:rsidP="00990748">
      <w:r w:rsidRPr="00990748">
        <w:lastRenderedPageBreak/>
        <w:t xml:space="preserve">Intuicja  ocenach eksperckich </w:t>
      </w:r>
    </w:p>
    <w:p w14:paraId="09F4754E" w14:textId="77777777" w:rsidR="00990748" w:rsidRPr="00990748" w:rsidRDefault="00990748" w:rsidP="00990748">
      <w:r w:rsidRPr="00990748">
        <w:t xml:space="preserve">Podejście do ryzyka w procesach decyzyjnych  </w:t>
      </w:r>
    </w:p>
    <w:p w14:paraId="645776F8" w14:textId="0244F18E" w:rsidR="005E1096" w:rsidRPr="0053341E" w:rsidRDefault="00990748" w:rsidP="00990748">
      <w:pPr>
        <w:rPr>
          <w:rStyle w:val="Poleformualrza"/>
          <w:sz w:val="24"/>
          <w:szCs w:val="24"/>
        </w:rPr>
      </w:pPr>
      <w:r w:rsidRPr="00990748">
        <w:t xml:space="preserve">Elementy teorii ram relacyjnych w kontekście procesów poznawczych 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4DE4FC01" w14:textId="2C680EA0" w:rsidR="00940543" w:rsidRPr="0053341E" w:rsidRDefault="009F22E0">
      <w:pPr>
        <w:rPr>
          <w:rStyle w:val="Poleformualrza"/>
          <w:b/>
          <w:color w:val="006991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3802F4">
        <w:t>Wykład, prezentacja, dyskusja, praca w g</w:t>
      </w:r>
      <w:r w:rsidR="00780A91">
        <w:t>upie, debata oksfordzka</w:t>
      </w:r>
      <w:r w:rsidR="00AD3A30">
        <w:t>.</w:t>
      </w:r>
      <w:r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1824D2BF" w14:textId="2692818C" w:rsidR="005E1096" w:rsidRPr="0053341E" w:rsidRDefault="0094054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BF214C" w:rsidRPr="00BF214C">
        <w:t>Kahneman, D. (2012). Pułapki myślenia. O myśleniu szybkim i wolnym,</w:t>
      </w:r>
      <w:r w:rsidR="00F71892">
        <w:t xml:space="preserve"> Wydawnistwo Media Rodzina Poznań</w:t>
      </w:r>
      <w:r w:rsidR="00BF214C">
        <w:t xml:space="preserve"> </w:t>
      </w:r>
      <w:r w:rsidR="009F22E0" w:rsidRPr="009F22E0">
        <w:fldChar w:fldCharType="end"/>
      </w:r>
    </w:p>
    <w:p w14:paraId="143C986E" w14:textId="4A1479A1" w:rsidR="001C6554" w:rsidRDefault="00940543">
      <w:pPr>
        <w:rPr>
          <w:lang w:val="en-US"/>
        </w:rPr>
      </w:pPr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1C6554" w:rsidRPr="001C6554">
        <w:t xml:space="preserve">Kahneman, D., Slovic, S. P., Slovic, P., &amp; Tversky, A. (Eds.). </w:t>
      </w:r>
      <w:r w:rsidR="001C6554" w:rsidRPr="00F746BE">
        <w:rPr>
          <w:lang w:val="en-US"/>
        </w:rPr>
        <w:t>(1982). Judgment under uncertainty: Heuristics and biases. Cambridge university press.</w:t>
      </w:r>
    </w:p>
    <w:p w14:paraId="0038159C" w14:textId="4D8791A2" w:rsidR="000E7E6A" w:rsidRDefault="000E7E6A">
      <w:pPr>
        <w:rPr>
          <w:lang w:val="en-US"/>
        </w:rPr>
      </w:pPr>
      <w:r w:rsidRPr="000E7E6A">
        <w:rPr>
          <w:lang w:val="en-US"/>
        </w:rPr>
        <w:t>Kahneman, D., &amp; Tversky, A. (2013). Prospect theory: An analysis of decision under risk. In Handbook of the fundamentals of financial decision making: Part I (pp. 99-127).</w:t>
      </w:r>
    </w:p>
    <w:p w14:paraId="181C9EB5" w14:textId="6838E136" w:rsidR="00803878" w:rsidRPr="00F746BE" w:rsidRDefault="00803878">
      <w:pPr>
        <w:rPr>
          <w:lang w:val="en-US"/>
        </w:rPr>
      </w:pPr>
      <w:r w:rsidRPr="00803878">
        <w:rPr>
          <w:lang w:val="en-US"/>
        </w:rPr>
        <w:t>Levin, M., &amp; Hayes, S. C. (2009). ACT, RFT, and contextual behavioral science.</w:t>
      </w:r>
    </w:p>
    <w:p w14:paraId="504C5311" w14:textId="5A3689CE" w:rsidR="001C6554" w:rsidRDefault="00F746BE">
      <w:r w:rsidRPr="00BE043C">
        <w:t xml:space="preserve">Klawiter, A. (2008). </w:t>
      </w:r>
      <w:r w:rsidRPr="00F746BE">
        <w:t>Formy aktywności umysłu. Ujęcia kognitywistyczne. Emocje, percepcja, świadomość, 1.</w:t>
      </w:r>
    </w:p>
    <w:p w14:paraId="23FC8897" w14:textId="18AEF7B5" w:rsidR="005D6BAC" w:rsidRDefault="005D6BAC">
      <w:r w:rsidRPr="005D6BAC">
        <w:t>Magrini, M. (2019). Mózg. Podręcznik użytkownika.</w:t>
      </w:r>
    </w:p>
    <w:p w14:paraId="5113A18D" w14:textId="4461E1B0" w:rsidR="005D6BAC" w:rsidRDefault="00F657A3">
      <w:r w:rsidRPr="00F657A3">
        <w:t>Ohme, R. (2017). Emo sapiens: harmonia emocji i rozumu. Wydawnictwo Bukowy Las.</w:t>
      </w:r>
    </w:p>
    <w:p w14:paraId="57B5A2C8" w14:textId="6A20A4D0" w:rsidR="005E1096" w:rsidRPr="0053341E" w:rsidRDefault="009F22E0">
      <w:pPr>
        <w:rPr>
          <w:rStyle w:val="Poleformualrza"/>
          <w:sz w:val="24"/>
          <w:szCs w:val="24"/>
        </w:rPr>
      </w:pPr>
      <w:r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4B905253" w:rsidR="005E1096" w:rsidRPr="0053341E" w:rsidRDefault="009F22E0" w:rsidP="00874C22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C6554">
              <w:t>70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343AD77B" w:rsidR="005E1096" w:rsidRPr="0053341E" w:rsidRDefault="00A825B3" w:rsidP="00230251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0251">
              <w:t>3,0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36ADE823" w:rsidR="005E1096" w:rsidRPr="0053341E" w:rsidRDefault="009F22E0" w:rsidP="00890C4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0251">
              <w:t>3</w:t>
            </w:r>
            <w:r w:rsidR="00890C45">
              <w:t>5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1A8262A8" w:rsidR="005E1096" w:rsidRPr="0053341E" w:rsidRDefault="00A825B3" w:rsidP="00230251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0251">
              <w:rPr>
                <w:noProof/>
              </w:rPr>
              <w:t>1,5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2C94CA7E" w:rsidR="005E1096" w:rsidRPr="0053341E" w:rsidRDefault="009F22E0" w:rsidP="005E5EE0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Praca własna studenta (studia literaturowe, przygotowanie do ćwiczeń, przygotowanie do </w:t>
            </w:r>
            <w:r w:rsidR="005E5EE0">
              <w:rPr>
                <w:noProof/>
              </w:rPr>
              <w:t>testów zaliczeniowych</w:t>
            </w:r>
            <w:r>
              <w:rPr>
                <w:noProof/>
              </w:rPr>
              <w:t>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3B7FEBEF" w:rsidR="005E1096" w:rsidRPr="0053341E" w:rsidRDefault="009F22E0" w:rsidP="00230251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0251">
              <w:t>4</w:t>
            </w:r>
            <w:r w:rsidR="00874C22"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64E4B680" w:rsidR="005E1096" w:rsidRPr="0053341E" w:rsidRDefault="00A825B3" w:rsidP="00230251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0251">
              <w:rPr>
                <w:noProof/>
              </w:rPr>
              <w:t>1,5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E1E8E" w14:textId="77777777" w:rsidR="005962F5" w:rsidRDefault="005962F5" w:rsidP="00DE7E54">
      <w:pPr>
        <w:spacing w:after="0" w:line="240" w:lineRule="auto"/>
      </w:pPr>
      <w:r>
        <w:separator/>
      </w:r>
    </w:p>
  </w:endnote>
  <w:endnote w:type="continuationSeparator" w:id="0">
    <w:p w14:paraId="0F4AF8CC" w14:textId="77777777" w:rsidR="005962F5" w:rsidRDefault="005962F5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874C22" w:rsidRDefault="00874C2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F6C0F">
      <w:rPr>
        <w:noProof/>
      </w:rPr>
      <w:t>1</w:t>
    </w:r>
    <w:r>
      <w:fldChar w:fldCharType="end"/>
    </w:r>
  </w:p>
  <w:p w14:paraId="2F5090F6" w14:textId="77777777" w:rsidR="00874C22" w:rsidRDefault="00874C22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74C22" w:rsidRDefault="00874C22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874C22" w:rsidRPr="00820B3E" w:rsidRDefault="00874C22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74C22" w:rsidRPr="00820B3E" w:rsidRDefault="00874C22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74C22" w:rsidRPr="00820B3E" w:rsidRDefault="00874C22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874C22" w:rsidRDefault="00874C22">
    <w:pPr>
      <w:pStyle w:val="Nagwek"/>
    </w:pPr>
  </w:p>
  <w:p w14:paraId="24CC9E16" w14:textId="77777777" w:rsidR="00874C22" w:rsidRDefault="00874C22"/>
  <w:p w14:paraId="58D97AD2" w14:textId="77777777" w:rsidR="00874C22" w:rsidRDefault="00874C2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2A49B969" w14:textId="77777777" w:rsidR="00874C22" w:rsidRDefault="00874C22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96C9C" w14:textId="77777777" w:rsidR="005962F5" w:rsidRDefault="005962F5" w:rsidP="00DE7E54">
      <w:pPr>
        <w:spacing w:after="0" w:line="240" w:lineRule="auto"/>
      </w:pPr>
      <w:r>
        <w:separator/>
      </w:r>
    </w:p>
  </w:footnote>
  <w:footnote w:type="continuationSeparator" w:id="0">
    <w:p w14:paraId="6C56D4E1" w14:textId="77777777" w:rsidR="005962F5" w:rsidRDefault="005962F5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874C22" w:rsidRDefault="00874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874C22" w:rsidRPr="00F302AE" w:rsidRDefault="00874C2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2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9583D"/>
    <w:rsid w:val="000C4F14"/>
    <w:rsid w:val="000E7E6A"/>
    <w:rsid w:val="00116141"/>
    <w:rsid w:val="00130416"/>
    <w:rsid w:val="001441E9"/>
    <w:rsid w:val="00144E37"/>
    <w:rsid w:val="001878DA"/>
    <w:rsid w:val="00191FB5"/>
    <w:rsid w:val="001C3A9C"/>
    <w:rsid w:val="001C6554"/>
    <w:rsid w:val="001E0EFC"/>
    <w:rsid w:val="001E3210"/>
    <w:rsid w:val="001E6DDE"/>
    <w:rsid w:val="001F11F2"/>
    <w:rsid w:val="001F4CA8"/>
    <w:rsid w:val="001F512F"/>
    <w:rsid w:val="00200447"/>
    <w:rsid w:val="00203A12"/>
    <w:rsid w:val="00211276"/>
    <w:rsid w:val="002156D2"/>
    <w:rsid w:val="002245DB"/>
    <w:rsid w:val="00230251"/>
    <w:rsid w:val="0027795C"/>
    <w:rsid w:val="00281DBC"/>
    <w:rsid w:val="002B2D95"/>
    <w:rsid w:val="002C407E"/>
    <w:rsid w:val="002C4874"/>
    <w:rsid w:val="002D50A1"/>
    <w:rsid w:val="002E457A"/>
    <w:rsid w:val="00301C36"/>
    <w:rsid w:val="00303D5F"/>
    <w:rsid w:val="00304D2D"/>
    <w:rsid w:val="00326820"/>
    <w:rsid w:val="00350B77"/>
    <w:rsid w:val="00352EC7"/>
    <w:rsid w:val="00361008"/>
    <w:rsid w:val="00362263"/>
    <w:rsid w:val="0036738B"/>
    <w:rsid w:val="003802F4"/>
    <w:rsid w:val="0038747A"/>
    <w:rsid w:val="003A3D32"/>
    <w:rsid w:val="003B7636"/>
    <w:rsid w:val="004038C2"/>
    <w:rsid w:val="00403EFE"/>
    <w:rsid w:val="004204CA"/>
    <w:rsid w:val="004261C8"/>
    <w:rsid w:val="00431FAD"/>
    <w:rsid w:val="00443C59"/>
    <w:rsid w:val="00454581"/>
    <w:rsid w:val="004B63B7"/>
    <w:rsid w:val="00507A94"/>
    <w:rsid w:val="005104AF"/>
    <w:rsid w:val="0053341E"/>
    <w:rsid w:val="00562E4F"/>
    <w:rsid w:val="0056418C"/>
    <w:rsid w:val="005770BC"/>
    <w:rsid w:val="0058152B"/>
    <w:rsid w:val="005865E7"/>
    <w:rsid w:val="005962F5"/>
    <w:rsid w:val="005B78EC"/>
    <w:rsid w:val="005C00B9"/>
    <w:rsid w:val="005C48DD"/>
    <w:rsid w:val="005C5794"/>
    <w:rsid w:val="005D6BAC"/>
    <w:rsid w:val="005E1096"/>
    <w:rsid w:val="005E1BF7"/>
    <w:rsid w:val="005E25F6"/>
    <w:rsid w:val="005E5EE0"/>
    <w:rsid w:val="006C3028"/>
    <w:rsid w:val="006C5EF7"/>
    <w:rsid w:val="006C7544"/>
    <w:rsid w:val="006D153A"/>
    <w:rsid w:val="006E0A46"/>
    <w:rsid w:val="006E1126"/>
    <w:rsid w:val="00705297"/>
    <w:rsid w:val="00762097"/>
    <w:rsid w:val="00780A91"/>
    <w:rsid w:val="007A08F0"/>
    <w:rsid w:val="007E7D4A"/>
    <w:rsid w:val="007F024D"/>
    <w:rsid w:val="00800E78"/>
    <w:rsid w:val="00803878"/>
    <w:rsid w:val="00820B3E"/>
    <w:rsid w:val="00834CA8"/>
    <w:rsid w:val="0083540A"/>
    <w:rsid w:val="00864F06"/>
    <w:rsid w:val="00874C22"/>
    <w:rsid w:val="00890C45"/>
    <w:rsid w:val="00897D32"/>
    <w:rsid w:val="008A0FF4"/>
    <w:rsid w:val="008C26D1"/>
    <w:rsid w:val="00901644"/>
    <w:rsid w:val="00905D6D"/>
    <w:rsid w:val="0092103A"/>
    <w:rsid w:val="00940543"/>
    <w:rsid w:val="0094386E"/>
    <w:rsid w:val="00954FBD"/>
    <w:rsid w:val="00963C23"/>
    <w:rsid w:val="00963E3B"/>
    <w:rsid w:val="0097400B"/>
    <w:rsid w:val="00990748"/>
    <w:rsid w:val="009978E8"/>
    <w:rsid w:val="009B1B9A"/>
    <w:rsid w:val="009B2AAE"/>
    <w:rsid w:val="009C17DD"/>
    <w:rsid w:val="009E3743"/>
    <w:rsid w:val="009E76F9"/>
    <w:rsid w:val="009F22E0"/>
    <w:rsid w:val="009F757D"/>
    <w:rsid w:val="00A14D86"/>
    <w:rsid w:val="00A1785A"/>
    <w:rsid w:val="00A42272"/>
    <w:rsid w:val="00A7352A"/>
    <w:rsid w:val="00A820ED"/>
    <w:rsid w:val="00A825B3"/>
    <w:rsid w:val="00A93F6C"/>
    <w:rsid w:val="00AA06D0"/>
    <w:rsid w:val="00AB2FBE"/>
    <w:rsid w:val="00AD3A30"/>
    <w:rsid w:val="00AE2CC4"/>
    <w:rsid w:val="00B20F50"/>
    <w:rsid w:val="00B225A8"/>
    <w:rsid w:val="00B53095"/>
    <w:rsid w:val="00B71A9E"/>
    <w:rsid w:val="00BA590A"/>
    <w:rsid w:val="00BE043C"/>
    <w:rsid w:val="00BF214C"/>
    <w:rsid w:val="00C23E96"/>
    <w:rsid w:val="00C27A9C"/>
    <w:rsid w:val="00C31343"/>
    <w:rsid w:val="00C56F36"/>
    <w:rsid w:val="00C57359"/>
    <w:rsid w:val="00C8179A"/>
    <w:rsid w:val="00C832CD"/>
    <w:rsid w:val="00CA635F"/>
    <w:rsid w:val="00CC0A2D"/>
    <w:rsid w:val="00CC702B"/>
    <w:rsid w:val="00CE679E"/>
    <w:rsid w:val="00D24F8A"/>
    <w:rsid w:val="00D63A0D"/>
    <w:rsid w:val="00D708F1"/>
    <w:rsid w:val="00D725D4"/>
    <w:rsid w:val="00D8589A"/>
    <w:rsid w:val="00DE7E54"/>
    <w:rsid w:val="00DF6C0F"/>
    <w:rsid w:val="00E26461"/>
    <w:rsid w:val="00E75361"/>
    <w:rsid w:val="00E93212"/>
    <w:rsid w:val="00E94992"/>
    <w:rsid w:val="00EB1295"/>
    <w:rsid w:val="00EB3B6D"/>
    <w:rsid w:val="00ED0AC0"/>
    <w:rsid w:val="00EE6F00"/>
    <w:rsid w:val="00F00120"/>
    <w:rsid w:val="00F064F5"/>
    <w:rsid w:val="00F2330C"/>
    <w:rsid w:val="00F302AE"/>
    <w:rsid w:val="00F31AD5"/>
    <w:rsid w:val="00F60D97"/>
    <w:rsid w:val="00F62994"/>
    <w:rsid w:val="00F657A3"/>
    <w:rsid w:val="00F71892"/>
    <w:rsid w:val="00F719E1"/>
    <w:rsid w:val="00F746BE"/>
    <w:rsid w:val="00F83CDD"/>
    <w:rsid w:val="00FB72D2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10CFC-4330-A140-90F1-0B6CE61D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665</Words>
  <Characters>3993</Characters>
  <Application>Microsoft Macintosh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3</cp:revision>
  <cp:lastPrinted>2022-10-15T12:29:00Z</cp:lastPrinted>
  <dcterms:created xsi:type="dcterms:W3CDTF">2022-10-15T12:29:00Z</dcterms:created>
  <dcterms:modified xsi:type="dcterms:W3CDTF">2022-10-15T12:30:00Z</dcterms:modified>
</cp:coreProperties>
</file>