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6396E142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FF7438" w:rsidRPr="00FF7438">
        <w:t>Wizualizacja danych</w:t>
      </w:r>
      <w:r w:rsidR="00FF7438">
        <w:t xml:space="preserve"> </w:t>
      </w:r>
      <w:r w:rsidR="00FF7438" w:rsidRPr="00FF7438">
        <w:t>wielowymiarowych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15EC22D4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4A4AEB">
        <w:t>2</w:t>
      </w:r>
      <w:r w:rsidR="00CA635F">
        <w:t>/</w:t>
      </w:r>
      <w:r w:rsidR="004A4AEB">
        <w:t>3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20344360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1F4CA8">
        <w:rPr>
          <w:noProof/>
        </w:rPr>
        <w:t>1</w:t>
      </w:r>
      <w:r w:rsidR="000243F1">
        <w:rPr>
          <w:noProof/>
        </w:rPr>
        <w:t>6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4AEB">
        <w:rPr>
          <w:noProof/>
        </w:rPr>
        <w:t>1</w:t>
      </w:r>
      <w:r w:rsidR="000243F1">
        <w:rPr>
          <w:noProof/>
        </w:rPr>
        <w:t>6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4A4AEB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565F4EE5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A4AEB">
        <w:rPr>
          <w:noProof/>
        </w:rPr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3F5091DD" w14:textId="6D3AB5C3" w:rsidR="004A4AEB" w:rsidRDefault="00361008" w:rsidP="004A4AEB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F4A5E">
        <w:t>Robert Susmaga</w:t>
      </w:r>
      <w:r w:rsidR="00CF4A5E">
        <w:br/>
        <w:t>email: Robert.Susmaga@cs.put.poznan.pl</w:t>
      </w:r>
      <w:r w:rsidR="00CF4A5E">
        <w:br/>
        <w:t>tel: 61 6652934</w:t>
      </w:r>
      <w:r w:rsidR="00CF4A5E">
        <w:br/>
        <w:t xml:space="preserve">Wydział Informatyki i Telekomunikacji </w:t>
      </w:r>
      <w:bookmarkStart w:id="5" w:name="_GoBack"/>
      <w:bookmarkEnd w:id="5"/>
      <w:r w:rsidR="00CF4A5E">
        <w:br/>
        <w:t>adres: ul. Piotrowo 2, 60-965 Poznań</w:t>
      </w:r>
    </w:p>
    <w:p w14:paraId="60581A24" w14:textId="12471397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3927ED08" w14:textId="77777777" w:rsidR="00CF4A5E" w:rsidRDefault="0092103A" w:rsidP="00CF4A5E"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F4A5E">
        <w:t>Wiedza: Podstawowa wiedza z algebry liniowej (proste operacje na wektorach i macierzach) oraz geometrii analitycznej (tworzenie wykresów prostych funkcji).</w:t>
      </w:r>
    </w:p>
    <w:p w14:paraId="4BBD1C14" w14:textId="77777777" w:rsidR="00CF4A5E" w:rsidRDefault="00CF4A5E" w:rsidP="00CF4A5E">
      <w:r>
        <w:t>Umiejętności: Umiejętność projektowania i implementowania prostych programów realizujących podstawowe operacje wektorowo-macierzowe i generujących wykresy podstawowych funkcji.</w:t>
      </w:r>
    </w:p>
    <w:p w14:paraId="2EEFCEBD" w14:textId="453AD6F1" w:rsidR="00361008" w:rsidRPr="002B2D95" w:rsidRDefault="00CF4A5E" w:rsidP="00CF4A5E">
      <w:pPr>
        <w:rPr>
          <w:rStyle w:val="Poleformualrza"/>
          <w:color w:val="808080" w:themeColor="background1" w:themeShade="80"/>
          <w:sz w:val="24"/>
          <w:szCs w:val="24"/>
        </w:rPr>
      </w:pPr>
      <w:r>
        <w:t>(Pożądane) Ciekawość poznawcza, wytrwałość w dążeniu do poszerzania swojej wiedzy, spora doza uczciwości i kultury osobistej.</w:t>
      </w:r>
      <w:r w:rsidR="009F22E0" w:rsidRPr="009F22E0">
        <w:fldChar w:fldCharType="end"/>
      </w:r>
    </w:p>
    <w:p w14:paraId="5161BD04" w14:textId="77777777" w:rsidR="00CF4A5E" w:rsidRDefault="00361008" w:rsidP="00CF4A5E"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F4A5E">
        <w:t>1. Przekazanie studentom szczegółowej wiedzy dotyczącej:</w:t>
      </w:r>
    </w:p>
    <w:p w14:paraId="2D9D14BA" w14:textId="77777777" w:rsidR="00CF4A5E" w:rsidRDefault="00CF4A5E" w:rsidP="00CF4A5E">
      <w:r>
        <w:lastRenderedPageBreak/>
        <w:t>a) leżących u podstaw analiz wielowymiarowych wybranych operacji wektorowo-macierzowych w przestrzeniach wielowymiarowych oraz rozkładu macierzy kwadratowych względem wartości własnych (ang. 'eigenvalue decomposition', EVD), wraz z ich zastosowaniami w przedstawionych poniżej metodach,</w:t>
      </w:r>
    </w:p>
    <w:p w14:paraId="7E30E7FA" w14:textId="77777777" w:rsidR="00CF4A5E" w:rsidRDefault="00CF4A5E" w:rsidP="00CF4A5E">
      <w:r>
        <w:t xml:space="preserve">b) wybranych metod przekształcania i wizualizowania danych wielowymiarowych, w tym metody składowych głównych (ang. 'principal component analysis', PCA), metody skalowania wielowymiarowego (ang. 'multidimensional scaling', MDS), a także sposobów reprezentacji danych </w:t>
      </w:r>
    </w:p>
    <w:p w14:paraId="35405BCE" w14:textId="77777777" w:rsidR="00CF4A5E" w:rsidRDefault="00CF4A5E" w:rsidP="00CF4A5E">
      <w:r>
        <w:t>w barycentrycznych układach współrzędnych.</w:t>
      </w:r>
    </w:p>
    <w:p w14:paraId="010EBC97" w14:textId="77777777" w:rsidR="00CF4A5E" w:rsidRDefault="00CF4A5E" w:rsidP="00CF4A5E">
      <w:r>
        <w:t>2. Rozwijanie u studentów umiejętności</w:t>
      </w:r>
    </w:p>
    <w:p w14:paraId="2D659CA9" w14:textId="77777777" w:rsidR="00CF4A5E" w:rsidRDefault="00CF4A5E" w:rsidP="00CF4A5E">
      <w:r>
        <w:t>a) identyfikowania, formułowania i rozwiązywania problemów badawczych związanych z analizowaniem i wizualizowaniem danych wielowymiarowych,</w:t>
      </w:r>
    </w:p>
    <w:p w14:paraId="40DB0592" w14:textId="2EEEF779" w:rsidR="00361008" w:rsidRPr="0053341E" w:rsidRDefault="00CF4A5E" w:rsidP="00CF4A5E">
      <w:pPr>
        <w:rPr>
          <w:rStyle w:val="Poleformualrza"/>
          <w:sz w:val="24"/>
          <w:szCs w:val="24"/>
        </w:rPr>
      </w:pPr>
      <w:r>
        <w:t>b) projektowania, tworzenia i testowania programów implementujących omawiane metody.</w:t>
      </w:r>
      <w:r w:rsidR="009F22E0" w:rsidRPr="009F22E0">
        <w:fldChar w:fldCharType="end"/>
      </w:r>
    </w:p>
    <w:p w14:paraId="5812E3EA" w14:textId="77777777" w:rsidR="00CF4A5E" w:rsidRDefault="001E3210" w:rsidP="00CF4A5E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F4A5E">
        <w:t>W ramach przedmiotu studenci:</w:t>
      </w:r>
    </w:p>
    <w:p w14:paraId="67BE6D3C" w14:textId="77777777" w:rsidR="00CF4A5E" w:rsidRDefault="00CF4A5E" w:rsidP="00CF4A5E">
      <w:r>
        <w:t xml:space="preserve">zdobywają zaawansowaną wiedzę szczegółową dotyczącą wybranych zagadnień z zakresu analizy danych wielowymiarowych, w szczególności dotyczących redukcji wymarowości (przede wszystkim: </w:t>
      </w:r>
    </w:p>
    <w:p w14:paraId="0F717FDA" w14:textId="2F60A87F" w:rsidR="00CF4A5E" w:rsidRDefault="00CF4A5E" w:rsidP="00CF4A5E">
      <w:r>
        <w:t xml:space="preserve">z zakresu metody PCA), wraz z ich zastosowaniami w selekcji, wygładzaniu i wizualizacji anych wielowymiarowych (przede wszystkim: metodę MDS, systemy współrzędnych barycentrycznych) </w:t>
      </w:r>
      <w:r w:rsidR="006413C1">
        <w:t>[</w:t>
      </w:r>
      <w:r>
        <w:t>K2st_W3</w:t>
      </w:r>
      <w:r w:rsidR="006413C1">
        <w:t>]</w:t>
      </w:r>
    </w:p>
    <w:p w14:paraId="2D7194DF" w14:textId="0A9E1296" w:rsidR="00361008" w:rsidRPr="0053341E" w:rsidRDefault="00CF4A5E" w:rsidP="00CF4A5E">
      <w:pPr>
        <w:rPr>
          <w:rStyle w:val="Poleformualrza"/>
          <w:sz w:val="24"/>
          <w:szCs w:val="24"/>
        </w:rPr>
      </w:pPr>
      <w:r>
        <w:t xml:space="preserve">zdobywają wiedzę o trendach rozwojowych i najistotniejszych nowych osiągnięciach informatyki, w szczególności na polu uczenia maszynowego i eksploracji danych, w których najnowsze osiągnięcia najczęściej wykorzystują skuteczne algorytmy optymalizacji w przestrzeniach wielowymiarowych </w:t>
      </w:r>
      <w:r w:rsidR="006413C1">
        <w:t>[</w:t>
      </w:r>
      <w:r>
        <w:t>K2st_W4</w:t>
      </w:r>
      <w:r w:rsidR="006413C1">
        <w:t>]</w:t>
      </w:r>
      <w:r w:rsidR="009F22E0" w:rsidRPr="009F22E0">
        <w:fldChar w:fldCharType="end"/>
      </w:r>
    </w:p>
    <w:p w14:paraId="19130997" w14:textId="77777777" w:rsidR="00CF4A5E" w:rsidRDefault="00361008" w:rsidP="00CF4A5E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F4A5E">
        <w:t>Dzięki przedmiotowi studenci:</w:t>
      </w:r>
    </w:p>
    <w:p w14:paraId="0A63AE9D" w14:textId="62815987" w:rsidR="00CF4A5E" w:rsidRDefault="00CF4A5E" w:rsidP="00CF4A5E">
      <w:r>
        <w:t xml:space="preserve">potrafią wykorzystać do formułowania i rozwiązywania zadań inżynierskich i prostych problemów badawczych metody analityczne, symulacyjne oraz eksperymentalne, w szczególności dotyczące przekształceń i analiz danych wielowymiarowych </w:t>
      </w:r>
      <w:r w:rsidR="006413C1">
        <w:t>[K</w:t>
      </w:r>
      <w:r>
        <w:t>2st_U4</w:t>
      </w:r>
      <w:r w:rsidR="006413C1">
        <w:t>]</w:t>
      </w:r>
    </w:p>
    <w:p w14:paraId="2D2E7ED3" w14:textId="64011893" w:rsidR="00CF4A5E" w:rsidRDefault="00CF4A5E" w:rsidP="00CF4A5E">
      <w:r>
        <w:t xml:space="preserve">potrafią — przy formułowaniu i rozwiązywaniu zadań inżynierskich, w szczególności dotyczących uczenia maszynowego i eksploracji danych — integrować wiedzę z różnych obszarów matematyki (algebra liniowa, geometria wielowymiarowa, itp.), uwzględniając także aspekty pozatechniczne, np. aspekty komunikacji człowiek-komputer w wizualizacji </w:t>
      </w:r>
      <w:r w:rsidR="006413C1">
        <w:t>[</w:t>
      </w:r>
      <w:r>
        <w:t>K2st_U5</w:t>
      </w:r>
      <w:r w:rsidR="006413C1">
        <w:t>]</w:t>
      </w:r>
    </w:p>
    <w:p w14:paraId="49D4A62A" w14:textId="77777777" w:rsidR="006413C1" w:rsidRDefault="00CF4A5E" w:rsidP="00CF4A5E">
      <w:r>
        <w:lastRenderedPageBreak/>
        <w:t xml:space="preserve">potrafią ocenić przydatność i możliwość wykorzystania nowych osiągnięć (metod i narzędzi) oraz nowych produktów informatycznych, przede wszystkim z dziedzin dotyczących analizy i przetwarzania danych wielowymiarowych (np. metod redukcji/selekcji cech) </w:t>
      </w:r>
      <w:r w:rsidR="006413C1">
        <w:t>[</w:t>
      </w:r>
      <w:r>
        <w:t>K2st_U6</w:t>
      </w:r>
      <w:r w:rsidR="006413C1">
        <w:t>]</w:t>
      </w:r>
    </w:p>
    <w:p w14:paraId="55E49CE3" w14:textId="20968818" w:rsidR="00CF4A5E" w:rsidRDefault="00CF4A5E" w:rsidP="00CF4A5E">
      <w:r>
        <w:t xml:space="preserve">potrafią dokonać krytycznej analizy istniejących rozwiązań technicznych — w szczególności </w:t>
      </w:r>
      <w:r w:rsidR="006413C1">
        <w:t xml:space="preserve"> </w:t>
      </w:r>
      <w:r>
        <w:t xml:space="preserve">(w dziedzinach analizy danych) rozwiązań wymagających redukcji wymiarowości — oraz zaproponować ich ulepszenia (usprawnienia) </w:t>
      </w:r>
      <w:r w:rsidR="006413C1">
        <w:t>[</w:t>
      </w:r>
      <w:r>
        <w:t>K2st_U8</w:t>
      </w:r>
      <w:r w:rsidR="006413C1">
        <w:t>]</w:t>
      </w:r>
    </w:p>
    <w:p w14:paraId="7968F8E3" w14:textId="58FE3E73" w:rsidR="00361008" w:rsidRPr="0053341E" w:rsidRDefault="00CF4A5E" w:rsidP="00CF4A5E">
      <w:pPr>
        <w:rPr>
          <w:rStyle w:val="Poleformualrza"/>
          <w:sz w:val="24"/>
          <w:szCs w:val="24"/>
        </w:rPr>
      </w:pPr>
      <w:r>
        <w:t xml:space="preserve">potrafią — zgodnie z zadaną specyfikacją, uwzględniającą aspekty pozatechniczne — zaprojektować złożony system informatyczny oraz zrealizować ten projekt (co najmniej w części) używając właściwych metod, technik i narzędzi, w tym przystosowując do tego celu istniejące lub opracowując nowe narzędzia analizy danych wielowymiarowych, w szczególności: redukcji wymiarowosci </w:t>
      </w:r>
      <w:r w:rsidR="006413C1">
        <w:t>[</w:t>
      </w:r>
      <w:r>
        <w:t>K2st_U11</w:t>
      </w:r>
      <w:r w:rsidR="006413C1">
        <w:t>]</w:t>
      </w:r>
      <w:r w:rsidR="009F22E0" w:rsidRPr="009F22E0">
        <w:fldChar w:fldCharType="end"/>
      </w:r>
    </w:p>
    <w:p w14:paraId="3E8D3219" w14:textId="77777777" w:rsidR="00CF4A5E" w:rsidRDefault="00361008" w:rsidP="00CF4A5E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F4A5E">
        <w:t>Studenci tego przedmiotu:</w:t>
      </w:r>
    </w:p>
    <w:p w14:paraId="49C7BB81" w14:textId="790172A1" w:rsidR="00CF4A5E" w:rsidRDefault="00CF4A5E" w:rsidP="00CF4A5E">
      <w:r>
        <w:t xml:space="preserve">rozumieją, że w informatyce wiedza i umiejętności bardzo szybko stają się przestarzałe </w:t>
      </w:r>
      <w:r w:rsidR="006413C1">
        <w:t>[</w:t>
      </w:r>
      <w:r>
        <w:t>K2st_K1</w:t>
      </w:r>
      <w:r w:rsidR="006413C1">
        <w:t>]</w:t>
      </w:r>
    </w:p>
    <w:p w14:paraId="4B21206A" w14:textId="3AD2080A" w:rsidR="00361008" w:rsidRPr="0053341E" w:rsidRDefault="00CF4A5E" w:rsidP="00CF4A5E">
      <w:pPr>
        <w:rPr>
          <w:rStyle w:val="Poleformualrza"/>
          <w:sz w:val="24"/>
          <w:szCs w:val="24"/>
        </w:rPr>
      </w:pPr>
      <w:r>
        <w:t xml:space="preserve">rozumieją znaczenie wykorzystywania najnowszej wiedzy z zakresu informatyki w rozwiązywaniu problemów badawczych i praktycznych </w:t>
      </w:r>
      <w:r w:rsidR="006413C1">
        <w:t>[</w:t>
      </w:r>
      <w:r>
        <w:t>K2st_K2</w:t>
      </w:r>
      <w:r w:rsidR="006413C1">
        <w:t>]</w:t>
      </w:r>
      <w:r w:rsidR="009F22E0" w:rsidRPr="009F22E0">
        <w:fldChar w:fldCharType="end"/>
      </w:r>
    </w:p>
    <w:p w14:paraId="270B910D" w14:textId="77777777" w:rsidR="00CF4A5E" w:rsidRDefault="00044237" w:rsidP="00CF4A5E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F4A5E">
        <w:t>Ocena formująca: (w zakresie laboratoriów):</w:t>
      </w:r>
    </w:p>
    <w:p w14:paraId="01C876A5" w14:textId="77777777" w:rsidR="00CF4A5E" w:rsidRDefault="00CF4A5E" w:rsidP="00CF4A5E">
      <w:r>
        <w:t>- na podstawie oceny bieżącego postępu realizacji przydzielanych zadań.</w:t>
      </w:r>
    </w:p>
    <w:p w14:paraId="027C4008" w14:textId="77777777" w:rsidR="00CF4A5E" w:rsidRDefault="00CF4A5E" w:rsidP="00CF4A5E">
      <w:r>
        <w:t>Ocena podsumowująca (zarówno w zakresie wykładów jak i laboratoriów):</w:t>
      </w:r>
    </w:p>
    <w:p w14:paraId="50E55767" w14:textId="443B324C" w:rsidR="005E1096" w:rsidRPr="0053341E" w:rsidRDefault="00CF4A5E">
      <w:pPr>
        <w:rPr>
          <w:rStyle w:val="Poleformualrza"/>
          <w:sz w:val="24"/>
          <w:szCs w:val="24"/>
        </w:rPr>
      </w:pPr>
      <w:r>
        <w:t>- ocena wiedzy i umiejętności wykazanych na pisemnym sprawdzianie wiedzy zawierającym w kilk (4-6) zadań (analogicznych do zadań prezentowanych na zajęciach); czas przewidziany na zaliczenie to 60-90 (wykłady) / 30-45 (laboratoria) minut; aby uzyskać ocenę pozytywną trzeba zdobyć przynajmniej 1+[m/2] (zaokrąglenie w dół) punktów, gdzie m jest punktacją maksymalną (np. aby uzyskać ocenę pozytywną przy m = 30 należy zdobyć przynajmniej 16 punktów).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2C49D110" w14:textId="77777777" w:rsidR="00CF4A5E" w:rsidRDefault="009F22E0" w:rsidP="00CF4A5E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CF4A5E">
        <w:t>(Wykłady) Wstęp: Przestrzenie wielowymiarowe. Idea wizualizacji, wady i zalety, wizualizacja danych "niskowymiarowych" i jej różne aspekty; wizualizacja danych wielowymiarowych i jej różne aspekty. Barycentryczne układy współrzędnych, trójwymiarowe i czterowymiarowe. Zastosowanie czterowymiarowych układów barycentrycznych: wizualizacja miar konfirmacji i miar trafnoci klasyfikowania.</w:t>
      </w:r>
    </w:p>
    <w:p w14:paraId="650A0E55" w14:textId="5A4CDADE" w:rsidR="00CF4A5E" w:rsidRDefault="00CF4A5E" w:rsidP="00CF4A5E">
      <w:r>
        <w:t xml:space="preserve">Wektory i macierze, podstawowe operacje wektorowe i macierzowe. Wielowymiarowe przestrzenie wektorowe, iloczyn skalarny wektorów, rzut wektora, kąt między wektorami, wektory ortogonalne, norma wektora. Macierze i podstawowe operacje na macierzach, interpretacja macierzy jako nośników danych i jako operatorów przekształcających. Podstawowe charakterystyki skalarne macierzy, macierze </w:t>
      </w:r>
      <w:r>
        <w:lastRenderedPageBreak/>
        <w:t>odwrotne i macierze ortogonalne oraz ich interpretacja graficzna. Analiza spektralna macierzy: wartości własne i ich właściwości, wektory własne i ich właściwości. Idea rozkładu macierzy, rozkład względem wartości własnych (ang. "eigenvalue decomposition", EVD): konstrukcja i podstawowe właściwości. Interpretacje i zastosowania rozkładów w algebrze macierzy i w analizie danych (w szczególności: redukcja wymiarowości, wygładzanie i kompresja). Idea metody składowych głównych (ang. "Principal Component Analysis", PCA), zależność zmiennych, macierze kowariancji/korelacji, procedura metody PCA, wykorzystanie rozkładów macierzy w PCA, dobór liczby redukowanych składowych, operacja odtwarzania danych, przykładowe zastosowania PCA. Idea metody skalowania wielowymiarowego (ang. "Multidimensional Scaling", MDS), macierze odległości, mapy obiektów, procedura metody MDS; wykorzystanie rozkładów macierzy w MDS, przykładowe zastosowania MDS. Opcjonalnie: idea analizy korespondencji (ang. "Correspondence Analysis", CA), idea metody wizualizacji nieliniowej t-SNE (ang. "t-distributed Stochastic Neighbour Embedding").</w:t>
      </w:r>
    </w:p>
    <w:p w14:paraId="645776F8" w14:textId="76489A1A" w:rsidR="005E1096" w:rsidRPr="0053341E" w:rsidRDefault="00CF4A5E" w:rsidP="00CF4A5E">
      <w:pPr>
        <w:rPr>
          <w:rStyle w:val="Poleformualrza"/>
          <w:sz w:val="24"/>
          <w:szCs w:val="24"/>
        </w:rPr>
      </w:pPr>
      <w:r>
        <w:t>(Laboratoria) Wprowadzenie do języka Python i wybranych bibliotek tego języka: NumPy i Matplotlib. Tworzenie prostych programów działających na danych skalarnych, wektorowych i macierzowych. Wizualizacja danych skalarnych, wektorowych i macierzowych, wykresy rozrzutu, barycentryczne układy współrzędnych. Iloczyn skalarny wektorów, ortogonalność wektorów, normy wektorów. Rozkład EVD macierzy, przykładowe zastosowania w funkcjach macierzowych. Metoda PCA, przykładowe zastosowania w redukcji wymiarowości i wizualizacji. Metoda MDS, przykładowe zastosowania w wizualizacji. Opcjonalnie: metoda CA, metoda t-SNE.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12F834B8" w14:textId="77777777" w:rsidR="00CF4A5E" w:rsidRDefault="009F22E0" w:rsidP="00CF4A5E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CF4A5E">
        <w:t>Wykłady: prezentacja multimedialna uzupełniona przykładami obliczeniowymi, demonstracja wybranych wizualizacji.</w:t>
      </w:r>
    </w:p>
    <w:p w14:paraId="4DE4FC01" w14:textId="61B9C517" w:rsidR="00940543" w:rsidRPr="0053341E" w:rsidRDefault="00CF4A5E" w:rsidP="00CF4A5E">
      <w:pPr>
        <w:rPr>
          <w:rStyle w:val="Poleformualrza"/>
          <w:b/>
          <w:color w:val="006991"/>
          <w:sz w:val="24"/>
          <w:szCs w:val="24"/>
        </w:rPr>
      </w:pPr>
      <w:r>
        <w:t>Laboratoria: modelowanie przykładowych problemów dotyczących przetwarzania i wizualizacji danych wielowymiarowych i rozwiązywanie tych problemów, wykonywanie eksperymentów symulacyjnych, dyskusja, praca w zespole, demonstracja i pokaz multimedialny.</w:t>
      </w:r>
      <w:r w:rsidR="009F22E0"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5F3DF91B" w14:textId="77777777" w:rsidR="00CF4A5E" w:rsidRDefault="00940543" w:rsidP="00CF4A5E"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F4A5E">
        <w:t>1. G. Banaszak, W. Gajda:   Elementy algebry liniowej  część I i II, WNT, Warszawa, 2002</w:t>
      </w:r>
    </w:p>
    <w:p w14:paraId="1824D2BF" w14:textId="43FD8A5F" w:rsidR="005E1096" w:rsidRPr="0053341E" w:rsidRDefault="00CF4A5E" w:rsidP="00CF4A5E">
      <w:pPr>
        <w:rPr>
          <w:rStyle w:val="Poleformualrza"/>
          <w:sz w:val="24"/>
          <w:szCs w:val="24"/>
        </w:rPr>
      </w:pPr>
      <w:r>
        <w:t>2. J. Koronacki, J. Ćwik:   Statystyczne systemy uczące się , WNT, Warszawa, 2005</w:t>
      </w:r>
      <w:r w:rsidR="009F22E0" w:rsidRPr="009F22E0">
        <w:fldChar w:fldCharType="end"/>
      </w:r>
    </w:p>
    <w:p w14:paraId="0D8EAB0C" w14:textId="77777777" w:rsidR="00CF4A5E" w:rsidRDefault="00940543" w:rsidP="00CF4A5E"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F4A5E">
        <w:t>1. I.T. Jolliffe:   Principal Component Analysis , Springer-Verlag, Nowy Jork, USA, 2002</w:t>
      </w:r>
    </w:p>
    <w:p w14:paraId="3544A55B" w14:textId="77777777" w:rsidR="00CF4A5E" w:rsidRDefault="00CF4A5E" w:rsidP="00CF4A5E">
      <w:r>
        <w:t>2. I. Borg, P.J.F. Groenen:   Modern Multidimensional Scaling , Springer Science+Business Media, Nowy Jork, USA, 2005</w:t>
      </w:r>
    </w:p>
    <w:p w14:paraId="25885E2A" w14:textId="77777777" w:rsidR="00CF4A5E" w:rsidRDefault="00CF4A5E" w:rsidP="00CF4A5E">
      <w:r>
        <w:t>3. M. Greenacre:   Correspondence Analysis in Practice , Chapman &amp; Hall/CRC Press, Nowy Jork, USA, 2007</w:t>
      </w:r>
    </w:p>
    <w:p w14:paraId="57B5A2C8" w14:textId="1C35538D" w:rsidR="005E1096" w:rsidRPr="0053341E" w:rsidRDefault="00CF4A5E">
      <w:pPr>
        <w:rPr>
          <w:rStyle w:val="Poleformualrza"/>
          <w:sz w:val="24"/>
          <w:szCs w:val="24"/>
        </w:rPr>
      </w:pPr>
      <w:r>
        <w:lastRenderedPageBreak/>
        <w:t>4. H. Dudycz:   Wizualizacja danych , Wydawnictwo AE, Wrocław, 1998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193D09B9" w:rsidR="005E1096" w:rsidRPr="0053341E" w:rsidRDefault="009F22E0" w:rsidP="005C511E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5</w:t>
            </w:r>
            <w:r w:rsidR="005C511E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005DA10E" w:rsidR="005E1096" w:rsidRPr="0053341E" w:rsidRDefault="00A825B3" w:rsidP="004A4AE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2,0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26018E6E" w:rsidR="005E1096" w:rsidRPr="0053341E" w:rsidRDefault="009F22E0" w:rsidP="000243F1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3</w:t>
            </w:r>
            <w:r w:rsidR="000243F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0AD85FA9" w:rsidR="005E1096" w:rsidRPr="0053341E" w:rsidRDefault="00A825B3" w:rsidP="000243F1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1,</w:t>
            </w:r>
            <w:r w:rsidR="000243F1">
              <w:rPr>
                <w:noProof/>
              </w:rPr>
              <w:t>3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6B9B8D9E" w14:textId="77777777" w:rsidR="00933FF0" w:rsidRDefault="009F22E0" w:rsidP="00933FF0">
            <w:pPr>
              <w:keepNext/>
              <w:rPr>
                <w:noProof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Praca własna studenta </w:t>
            </w:r>
            <w:r w:rsidR="00933FF0">
              <w:rPr>
                <w:noProof/>
              </w:rPr>
              <w:t>(t</w:t>
            </w:r>
            <w:r w:rsidR="00933FF0" w:rsidRPr="00933FF0">
              <w:rPr>
                <w:noProof/>
              </w:rPr>
              <w:t>eoretyczne przygotowanie do ćwiczeń laboratoryjnych (literatura przedmiotu, języki i systemy programowania)</w:t>
            </w:r>
            <w:r w:rsidR="00933FF0">
              <w:rPr>
                <w:noProof/>
              </w:rPr>
              <w:t xml:space="preserve">, praktyczna praca nad zbieraniem danych, </w:t>
            </w:r>
          </w:p>
          <w:p w14:paraId="2AB7C32E" w14:textId="7EFC7BF9" w:rsidR="005E1096" w:rsidRPr="0053341E" w:rsidRDefault="00933FF0" w:rsidP="00933FF0">
            <w:pPr>
              <w:keepNext/>
              <w:rPr>
                <w:szCs w:val="24"/>
              </w:rPr>
            </w:pPr>
            <w:r>
              <w:rPr>
                <w:noProof/>
              </w:rPr>
              <w:t xml:space="preserve">tworzeniem i testowaniem oprogramowania, </w:t>
            </w:r>
            <w:r w:rsidRPr="00933FF0">
              <w:rPr>
                <w:noProof/>
              </w:rPr>
              <w:t>prowadzenie badań / eksperymentów obliczeniowych</w:t>
            </w:r>
            <w:r>
              <w:rPr>
                <w:noProof/>
              </w:rPr>
              <w:t xml:space="preserve">, </w:t>
            </w:r>
            <w:r w:rsidRPr="00933FF0">
              <w:rPr>
                <w:noProof/>
              </w:rPr>
              <w:t>tworzenie sprawozdań</w:t>
            </w:r>
            <w:r>
              <w:rPr>
                <w:noProof/>
              </w:rPr>
              <w:t>, przygotowanie do sprawdzianu)</w:t>
            </w:r>
            <w:r w:rsidR="009F22E0"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43BFC837" w:rsidR="005E1096" w:rsidRPr="0053341E" w:rsidRDefault="009F22E0" w:rsidP="000243F1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2</w:t>
            </w:r>
            <w:r w:rsidR="000243F1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2065AC2F" w:rsidR="005E1096" w:rsidRPr="0053341E" w:rsidRDefault="00A825B3" w:rsidP="000243F1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AEB">
              <w:rPr>
                <w:noProof/>
              </w:rPr>
              <w:t>0,</w:t>
            </w:r>
            <w:r w:rsidR="000243F1">
              <w:rPr>
                <w:noProof/>
              </w:rPr>
              <w:t>7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FEC70" w14:textId="77777777" w:rsidR="00F83CDD" w:rsidRDefault="00F83CDD" w:rsidP="00DE7E54">
      <w:pPr>
        <w:spacing w:after="0" w:line="240" w:lineRule="auto"/>
      </w:pPr>
      <w:r>
        <w:separator/>
      </w:r>
    </w:p>
  </w:endnote>
  <w:endnote w:type="continuationSeparator" w:id="0">
    <w:p w14:paraId="6D945D30" w14:textId="77777777" w:rsidR="00F83CDD" w:rsidRDefault="00F83CDD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31348">
      <w:rPr>
        <w:noProof/>
      </w:rPr>
      <w:t>5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777F6" w14:textId="77777777" w:rsidR="00F83CDD" w:rsidRDefault="00F83CDD" w:rsidP="00DE7E54">
      <w:pPr>
        <w:spacing w:after="0" w:line="240" w:lineRule="auto"/>
      </w:pPr>
      <w:r>
        <w:separator/>
      </w:r>
    </w:p>
  </w:footnote>
  <w:footnote w:type="continuationSeparator" w:id="0">
    <w:p w14:paraId="760BED5F" w14:textId="77777777" w:rsidR="00F83CDD" w:rsidRDefault="00F83CDD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243F1"/>
    <w:rsid w:val="0004073D"/>
    <w:rsid w:val="00043205"/>
    <w:rsid w:val="00044237"/>
    <w:rsid w:val="000541DD"/>
    <w:rsid w:val="0006356F"/>
    <w:rsid w:val="000C4F14"/>
    <w:rsid w:val="001441E9"/>
    <w:rsid w:val="00191FB5"/>
    <w:rsid w:val="001C3A9C"/>
    <w:rsid w:val="001E3210"/>
    <w:rsid w:val="001E6DDE"/>
    <w:rsid w:val="001F11F2"/>
    <w:rsid w:val="001F4CA8"/>
    <w:rsid w:val="001F512F"/>
    <w:rsid w:val="00200447"/>
    <w:rsid w:val="00203A12"/>
    <w:rsid w:val="00211276"/>
    <w:rsid w:val="002156D2"/>
    <w:rsid w:val="0027795C"/>
    <w:rsid w:val="00281DBC"/>
    <w:rsid w:val="002B2D95"/>
    <w:rsid w:val="002C407E"/>
    <w:rsid w:val="002C4874"/>
    <w:rsid w:val="002D50A1"/>
    <w:rsid w:val="002E457A"/>
    <w:rsid w:val="00301C36"/>
    <w:rsid w:val="00326820"/>
    <w:rsid w:val="00352EC7"/>
    <w:rsid w:val="00361008"/>
    <w:rsid w:val="00362263"/>
    <w:rsid w:val="0036738B"/>
    <w:rsid w:val="0038747A"/>
    <w:rsid w:val="003B7636"/>
    <w:rsid w:val="004038C2"/>
    <w:rsid w:val="00403EFE"/>
    <w:rsid w:val="004204CA"/>
    <w:rsid w:val="004261C8"/>
    <w:rsid w:val="00431FAD"/>
    <w:rsid w:val="00443C59"/>
    <w:rsid w:val="00454581"/>
    <w:rsid w:val="004A4AEB"/>
    <w:rsid w:val="004B63B7"/>
    <w:rsid w:val="00507A94"/>
    <w:rsid w:val="005104AF"/>
    <w:rsid w:val="0053341E"/>
    <w:rsid w:val="00562E4F"/>
    <w:rsid w:val="0056418C"/>
    <w:rsid w:val="005770BC"/>
    <w:rsid w:val="0058152B"/>
    <w:rsid w:val="005865E7"/>
    <w:rsid w:val="005B78EC"/>
    <w:rsid w:val="005C48DD"/>
    <w:rsid w:val="005C511E"/>
    <w:rsid w:val="005C5794"/>
    <w:rsid w:val="005E1096"/>
    <w:rsid w:val="005E25F6"/>
    <w:rsid w:val="006413C1"/>
    <w:rsid w:val="006C3028"/>
    <w:rsid w:val="006C7544"/>
    <w:rsid w:val="006D153A"/>
    <w:rsid w:val="006E0A46"/>
    <w:rsid w:val="006E1126"/>
    <w:rsid w:val="00705297"/>
    <w:rsid w:val="007102CD"/>
    <w:rsid w:val="00762097"/>
    <w:rsid w:val="007A08F0"/>
    <w:rsid w:val="00800E78"/>
    <w:rsid w:val="00820B3E"/>
    <w:rsid w:val="00834CA8"/>
    <w:rsid w:val="008A0FF4"/>
    <w:rsid w:val="008C26D1"/>
    <w:rsid w:val="00901644"/>
    <w:rsid w:val="00905D6D"/>
    <w:rsid w:val="0092103A"/>
    <w:rsid w:val="00933FF0"/>
    <w:rsid w:val="00940543"/>
    <w:rsid w:val="0094386E"/>
    <w:rsid w:val="00954FBD"/>
    <w:rsid w:val="00963E3B"/>
    <w:rsid w:val="00981C4D"/>
    <w:rsid w:val="009978E8"/>
    <w:rsid w:val="009B2AAE"/>
    <w:rsid w:val="009C17DD"/>
    <w:rsid w:val="009E76F9"/>
    <w:rsid w:val="009F22E0"/>
    <w:rsid w:val="009F757D"/>
    <w:rsid w:val="00A14D86"/>
    <w:rsid w:val="00A1785A"/>
    <w:rsid w:val="00A42272"/>
    <w:rsid w:val="00A820ED"/>
    <w:rsid w:val="00A825B3"/>
    <w:rsid w:val="00A93F6C"/>
    <w:rsid w:val="00AA06D0"/>
    <w:rsid w:val="00AB2FBE"/>
    <w:rsid w:val="00AE2CC4"/>
    <w:rsid w:val="00B20F50"/>
    <w:rsid w:val="00B225A8"/>
    <w:rsid w:val="00B53095"/>
    <w:rsid w:val="00B71A9E"/>
    <w:rsid w:val="00BA590A"/>
    <w:rsid w:val="00C27A9C"/>
    <w:rsid w:val="00C31343"/>
    <w:rsid w:val="00C56F36"/>
    <w:rsid w:val="00C57359"/>
    <w:rsid w:val="00C8179A"/>
    <w:rsid w:val="00C832CD"/>
    <w:rsid w:val="00CA635F"/>
    <w:rsid w:val="00CC0A2D"/>
    <w:rsid w:val="00CC702B"/>
    <w:rsid w:val="00CE679E"/>
    <w:rsid w:val="00CF4A5E"/>
    <w:rsid w:val="00D24F8A"/>
    <w:rsid w:val="00D63A0D"/>
    <w:rsid w:val="00D708F1"/>
    <w:rsid w:val="00D725D4"/>
    <w:rsid w:val="00D8589A"/>
    <w:rsid w:val="00DE7E54"/>
    <w:rsid w:val="00E26461"/>
    <w:rsid w:val="00E31348"/>
    <w:rsid w:val="00E75361"/>
    <w:rsid w:val="00E93212"/>
    <w:rsid w:val="00EB1295"/>
    <w:rsid w:val="00EB3B6D"/>
    <w:rsid w:val="00ED0AC0"/>
    <w:rsid w:val="00EE6F00"/>
    <w:rsid w:val="00F00120"/>
    <w:rsid w:val="00F2330C"/>
    <w:rsid w:val="00F302AE"/>
    <w:rsid w:val="00F60D97"/>
    <w:rsid w:val="00F62994"/>
    <w:rsid w:val="00F719E1"/>
    <w:rsid w:val="00F83CDD"/>
    <w:rsid w:val="00FD0202"/>
    <w:rsid w:val="00FD7943"/>
    <w:rsid w:val="00FE4261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9400B-D799-8147-9751-4F3942101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1405</Words>
  <Characters>8431</Characters>
  <Application>Microsoft Macintosh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18</cp:revision>
  <cp:lastPrinted>2019-12-05T13:22:00Z</cp:lastPrinted>
  <dcterms:created xsi:type="dcterms:W3CDTF">2020-02-08T11:34:00Z</dcterms:created>
  <dcterms:modified xsi:type="dcterms:W3CDTF">2022-10-27T19:29:00Z</dcterms:modified>
</cp:coreProperties>
</file>