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4D4A43A5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5F36DC">
        <w:t>Inteligentne Systemy Wspomagania Decyzji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71E00A77"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3F886B3B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CA635F">
        <w:t>1/1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542EBD9"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7FB236D9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5F36DC">
        <w:t>30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5F36DC">
        <w:t>30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rPr>
          <w:noProof/>
        </w:rPr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5AB2A6EE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5F36DC">
        <w:t>5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6FE50308"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34DC4DF9" w14:textId="77777777" w:rsidR="00A863C3" w:rsidRDefault="00361008" w:rsidP="00A863C3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863C3">
        <w:t>dr hab. inż. Milosz Kadziński, prof. PP</w:t>
      </w:r>
    </w:p>
    <w:p w14:paraId="02A80EC5" w14:textId="77777777" w:rsidR="00A863C3" w:rsidRDefault="00A863C3" w:rsidP="00A863C3">
      <w:r>
        <w:t>e-mail: milosz.kadzinski@cs.put.poznan.pl</w:t>
      </w:r>
    </w:p>
    <w:p w14:paraId="044B4FB8" w14:textId="77777777" w:rsidR="00A863C3" w:rsidRDefault="00A863C3" w:rsidP="00A863C3">
      <w:r>
        <w:t>tel. 61 665 3022</w:t>
      </w:r>
    </w:p>
    <w:p w14:paraId="3526AF3D" w14:textId="0D5C4731" w:rsidR="006122D5" w:rsidRDefault="006122D5" w:rsidP="006122D5">
      <w:r>
        <w:t xml:space="preserve">Wydział Informatyki i Telekomunikacji </w:t>
      </w:r>
    </w:p>
    <w:p w14:paraId="701A5EC3" w14:textId="77777777" w:rsidR="00A863C3" w:rsidRDefault="006122D5" w:rsidP="00A863C3">
      <w:r>
        <w:t>ul. Piotrowo 2, 60-965 Poznań</w:t>
      </w:r>
      <w:r w:rsidR="009F22E0"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863C3">
        <w:t>prof. dr hab. inż. Roman Słowiński</w:t>
      </w:r>
    </w:p>
    <w:p w14:paraId="3EB26317" w14:textId="77777777" w:rsidR="00A863C3" w:rsidRDefault="00A863C3" w:rsidP="00A863C3">
      <w:r>
        <w:t>e-mail: roman.slowinski@cs.put.poznan.pl</w:t>
      </w:r>
    </w:p>
    <w:p w14:paraId="5C9033C2" w14:textId="77777777" w:rsidR="00A863C3" w:rsidRDefault="00A863C3" w:rsidP="00A863C3">
      <w:r>
        <w:t xml:space="preserve">tel. 61 665 2902  </w:t>
      </w:r>
    </w:p>
    <w:p w14:paraId="7E28B0BB" w14:textId="2823D887" w:rsidR="006A3DD3" w:rsidRDefault="006A3DD3" w:rsidP="00A863C3">
      <w:bookmarkStart w:id="5" w:name="_GoBack"/>
      <w:bookmarkEnd w:id="5"/>
      <w:r>
        <w:t xml:space="preserve">Wydział Informatyki i Telekomunikacji </w:t>
      </w:r>
    </w:p>
    <w:p w14:paraId="60581A24" w14:textId="509DF6EE" w:rsidR="001C3A9C" w:rsidRDefault="006A3DD3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>
        <w:t>ul. Piotrowo 2, 60-965 Poznań</w:t>
      </w:r>
      <w:r w:rsidR="00D07722">
        <w:t xml:space="preserve"> </w:t>
      </w:r>
      <w:r w:rsidR="009F22E0" w:rsidRPr="009F22E0">
        <w:fldChar w:fldCharType="end"/>
      </w:r>
    </w:p>
    <w:p w14:paraId="2EEFCEBD" w14:textId="0B28A4DA" w:rsidR="00361008" w:rsidRPr="002B2D95" w:rsidRDefault="0092103A" w:rsidP="00A863C3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63467879"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A863C3" w:rsidRPr="00A863C3">
        <w:t>Student rozpoczynający ten przedmiot powinien posiadać wiedzę z zakresu matematyki dyskretnej, algebry liniowej, optymalizacji kombinatorycznej, badań operacyjnych i wspomagania decyzji. Powinien posiadać umiejętności rozwiązywania podstawowych problemów programowania matematycznego, pozyskiwania informacji ze wskazanych źródeł oraz programowania w co najmniej jednym języku. Powinien również rozumieć konieczność poszerzania swoich kompetencji w zakresie modelowania rzeczywistych problemów decyzyjnych i posługiwania się narzędziami informatycznymi do ich rozwiązywania. Ponadto w zakresie kompetencji społecznych student musi prezentować takie postawy jak uczciwość, odpowiedzialność, wytrwałość, ciekawość poznawcza, kreatywność, kultura osobista, szacunek dla innych ludzi.</w:t>
      </w:r>
      <w:r w:rsidR="009F22E0" w:rsidRPr="009F22E0">
        <w:fldChar w:fldCharType="end"/>
      </w:r>
    </w:p>
    <w:p w14:paraId="651A61C4" w14:textId="2660C9FB" w:rsidR="002C18F3" w:rsidRPr="002C18F3" w:rsidRDefault="00361008" w:rsidP="002C18F3">
      <w:r w:rsidRPr="005865E7">
        <w:rPr>
          <w:b/>
          <w:color w:val="006991"/>
        </w:rPr>
        <w:lastRenderedPageBreak/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2C18F3" w:rsidRPr="002C18F3">
        <w:t xml:space="preserve">1. Przekazanie podstawowej wiedzy na temat </w:t>
      </w:r>
      <w:r w:rsidR="00896FC7">
        <w:t xml:space="preserve">inteligentnych systemow wspomagania decyzji </w:t>
      </w:r>
      <w:r w:rsidR="00896FC7" w:rsidRPr="00896FC7">
        <w:t>w zakresie podstaw teoretycznych i implementacji komputerowych</w:t>
      </w:r>
      <w:r w:rsidR="00896FC7">
        <w:t xml:space="preserve">, a w szczególności </w:t>
      </w:r>
      <w:r w:rsidR="002C18F3">
        <w:t xml:space="preserve">konstruktywnego uczenia się preferencji </w:t>
      </w:r>
      <w:r w:rsidR="00896FC7">
        <w:t>jako podejścia charakterystycznego dla sztucznej inteligencji</w:t>
      </w:r>
      <w:r w:rsidR="002C18F3" w:rsidRPr="002C18F3">
        <w:t>.</w:t>
      </w:r>
    </w:p>
    <w:p w14:paraId="40257751" w14:textId="32CC51E8" w:rsidR="002C18F3" w:rsidRPr="002C18F3" w:rsidRDefault="002C18F3" w:rsidP="002C18F3">
      <w:r w:rsidRPr="002C18F3">
        <w:t>2. Nabycie wiedzy na temat wybranych metod i narzędzi szeroko rozumianej teorii decyzji wykorzystującej elementy informatyki, matematyki, sztucznej inteligencji, zarządzania</w:t>
      </w:r>
      <w:r w:rsidR="00896FC7">
        <w:t xml:space="preserve"> </w:t>
      </w:r>
      <w:r w:rsidRPr="002C18F3">
        <w:t>i kognitywistyki.</w:t>
      </w:r>
    </w:p>
    <w:p w14:paraId="1D9B030C" w14:textId="3B6AB209" w:rsidR="00896FC7" w:rsidRDefault="002C18F3" w:rsidP="002C18F3">
      <w:r w:rsidRPr="002C18F3">
        <w:t xml:space="preserve">3. Rozwijanie umiejętności analityka procesu decyzyjnego, polegających na prawidłowym doborze metody </w:t>
      </w:r>
      <w:r w:rsidR="00896FC7">
        <w:t>inteligentnego</w:t>
      </w:r>
      <w:r w:rsidRPr="002C18F3">
        <w:t xml:space="preserve"> wspomagania decyzji do problemu decyzyjnego</w:t>
      </w:r>
      <w:r w:rsidR="00896FC7">
        <w:t xml:space="preserve">, zależnym od rodzaju dostępnych danych, postacji oczekiwanego rezultatu i typu </w:t>
      </w:r>
      <w:r w:rsidR="009F17FD">
        <w:t>zak</w:t>
      </w:r>
      <w:r w:rsidR="00925F0C">
        <w:t>ł</w:t>
      </w:r>
      <w:r w:rsidR="009F17FD">
        <w:t xml:space="preserve">adanego </w:t>
      </w:r>
      <w:r w:rsidR="00896FC7">
        <w:t>modelu preferencji.</w:t>
      </w:r>
    </w:p>
    <w:p w14:paraId="785F3377" w14:textId="1045908B" w:rsidR="002C18F3" w:rsidRPr="002C18F3" w:rsidRDefault="00896FC7" w:rsidP="002C18F3">
      <w:r>
        <w:t>4. Nabycie umiejętności w</w:t>
      </w:r>
      <w:r w:rsidR="002C18F3" w:rsidRPr="002C18F3">
        <w:t xml:space="preserve"> posługiwaniu się oprogramowaniem będącym implementacją komputerową metod</w:t>
      </w:r>
      <w:r>
        <w:t xml:space="preserve"> </w:t>
      </w:r>
      <w:r w:rsidRPr="00896FC7">
        <w:t>inteligentnego wspomagania decyzji</w:t>
      </w:r>
      <w:r w:rsidR="002C18F3" w:rsidRPr="002C18F3">
        <w:t>.</w:t>
      </w:r>
    </w:p>
    <w:p w14:paraId="774662A6" w14:textId="6A3170DB" w:rsidR="002C18F3" w:rsidRPr="002C18F3" w:rsidRDefault="009F17FD" w:rsidP="002C18F3">
      <w:r>
        <w:t>5</w:t>
      </w:r>
      <w:r w:rsidR="002C18F3" w:rsidRPr="002C18F3">
        <w:t xml:space="preserve">. Rozwijanie umiejętności modelowania </w:t>
      </w:r>
      <w:r w:rsidR="00896FC7">
        <w:t xml:space="preserve">matematycznego </w:t>
      </w:r>
      <w:r w:rsidR="002C18F3" w:rsidRPr="002C18F3">
        <w:t>pro</w:t>
      </w:r>
      <w:r>
        <w:t>cesu</w:t>
      </w:r>
      <w:r w:rsidR="002C18F3" w:rsidRPr="002C18F3">
        <w:t xml:space="preserve"> decyzyjnego</w:t>
      </w:r>
      <w:r w:rsidR="00D369BB">
        <w:t xml:space="preserve"> w warunkach deterministycznych i w warunkach ryzyka i niepewności</w:t>
      </w:r>
      <w:r>
        <w:t>,</w:t>
      </w:r>
      <w:r w:rsidR="002C18F3" w:rsidRPr="002C18F3">
        <w:t xml:space="preserve"> </w:t>
      </w:r>
      <w:r>
        <w:t>obejmującego: definicję zbioru wariantów decyzyjnych, konstrukcję spójnej rodziny kryteriów (wymiarow) ich oceny, agregację kryteriów i konstruktywe uczenie się preferencji w trybie dialogowym</w:t>
      </w:r>
      <w:r w:rsidR="002C18F3" w:rsidRPr="002C18F3">
        <w:t>.</w:t>
      </w:r>
    </w:p>
    <w:p w14:paraId="50FC27C4" w14:textId="2A915CCE" w:rsidR="002C18F3" w:rsidRDefault="002C18F3" w:rsidP="002C18F3">
      <w:r w:rsidRPr="002C18F3">
        <w:t xml:space="preserve">6. Poznanie przykładowych praktycznych zastosowań metod </w:t>
      </w:r>
      <w:r w:rsidR="009F17FD">
        <w:t>inteligent</w:t>
      </w:r>
      <w:r w:rsidRPr="002C18F3">
        <w:t>nego wspomagania decyzji oraz metod i narzędzi szeroko rozumianej teorii decyzji.</w:t>
      </w:r>
    </w:p>
    <w:p w14:paraId="53F838FC" w14:textId="733F4AA0" w:rsidR="00A863C3" w:rsidRDefault="00A863C3" w:rsidP="00A863C3">
      <w:r>
        <w:t>7. Nabycie zaawansowanych umiejętności z zakresu teorii gier (ang. game theory), tj. analizy oraz identyfikacji optymalnych zachowań, np. w ramach gier strategicznych, rozległych czy zatłoczenia.</w:t>
      </w:r>
    </w:p>
    <w:p w14:paraId="74AEF3F6" w14:textId="5DD27879" w:rsidR="00A863C3" w:rsidRDefault="00A863C3" w:rsidP="00A863C3">
      <w:r>
        <w:t>8. Nabycie umiejętności wykorzystania granicznej analizy danych (ang. data envelopment analysis) w problemach badania efektywności jednostek decyzyjnych.</w:t>
      </w:r>
    </w:p>
    <w:p w14:paraId="76D20B17" w14:textId="24F3DA5C" w:rsidR="00A863C3" w:rsidRDefault="00A863C3" w:rsidP="00A863C3">
      <w:r>
        <w:t>9. Poznanie podstawowych metod optymalizacji wielokryteriowej opartych na programowaniu liniowym i algorytmach ewolucyjnych, a także nabycie umiejętności ich zastosowania do rozwiązywania rzeczywistych problemów optymalizacji.</w:t>
      </w:r>
    </w:p>
    <w:p w14:paraId="18323F9F" w14:textId="6F794DFF" w:rsidR="00A863C3" w:rsidRPr="002C18F3" w:rsidRDefault="00A863C3" w:rsidP="002C18F3">
      <w:r>
        <w:t>10. Zrozumienie zasad działania algorytmów uczenia preferencji (ang. preference learning) oraz ich wykorzystania do uczenia z dużych zbiorów przykładowych decyzji.</w:t>
      </w:r>
    </w:p>
    <w:p w14:paraId="40DB0592" w14:textId="1AA3624E" w:rsidR="00361008" w:rsidRPr="0053341E" w:rsidRDefault="00A863C3" w:rsidP="002C18F3">
      <w:pPr>
        <w:rPr>
          <w:rStyle w:val="Poleformualrza"/>
          <w:sz w:val="24"/>
          <w:szCs w:val="24"/>
        </w:rPr>
      </w:pPr>
      <w:r>
        <w:t>11</w:t>
      </w:r>
      <w:r w:rsidR="002C18F3" w:rsidRPr="002C18F3">
        <w:t>. Kształtowanie u studentów umiejętności pracy zespołowej.</w:t>
      </w:r>
      <w:r w:rsidR="009F22E0" w:rsidRPr="009F22E0">
        <w:fldChar w:fldCharType="end"/>
      </w:r>
    </w:p>
    <w:p w14:paraId="1AD0D44C" w14:textId="32EDBB69" w:rsidR="0011275C" w:rsidRPr="0011275C" w:rsidRDefault="001E3210" w:rsidP="0011275C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11275C" w:rsidRPr="0011275C">
        <w:t>1. Ma zaawansowaną, pogłębioną wiedzę z zakresu inteligentnych systemów wspomagania decyzji</w:t>
      </w:r>
      <w:r w:rsidR="0011275C">
        <w:t xml:space="preserve"> w zakresie</w:t>
      </w:r>
      <w:r w:rsidR="0011275C" w:rsidRPr="0011275C">
        <w:t xml:space="preserve"> podstaw teoretycznych, implementacji komputerowej tych metod oraz narzędzi informatycznych do tworzenia nowych metod dostosowanych do specyfiki rzeczywistego problemu decyzyjnego  [K2st_W1]</w:t>
      </w:r>
    </w:p>
    <w:p w14:paraId="586D21AD" w14:textId="35D43B74" w:rsidR="0011275C" w:rsidRPr="0011275C" w:rsidRDefault="0011275C" w:rsidP="0011275C">
      <w:r w:rsidRPr="0011275C">
        <w:lastRenderedPageBreak/>
        <w:t xml:space="preserve">2. Ma zaawansowaną wiedzę szczegółową dotyczącą pozyskiwania informacji preferencyjnych od zleceniodawcy usługi wspomagania decyzji (zwanego decydentem), matematycznego modelowania preferencji </w:t>
      </w:r>
      <w:r>
        <w:t>w trybie konstruktywnego uczenia się</w:t>
      </w:r>
      <w:r w:rsidR="00643A57">
        <w:t xml:space="preserve"> </w:t>
      </w:r>
      <w:r w:rsidRPr="0011275C">
        <w:t>i zastosowania tego modelu przy wypracowywaniu zalecenia (wyniku) [K2st_W3]</w:t>
      </w:r>
    </w:p>
    <w:p w14:paraId="6DB1E148" w14:textId="6AE787EE" w:rsidR="0011275C" w:rsidRPr="0011275C" w:rsidRDefault="0011275C" w:rsidP="0011275C">
      <w:r w:rsidRPr="0011275C">
        <w:t>3. Ma wiedzę o trendach rozwojowych i najistotniejszych nowych osiągnięciach w informatyce</w:t>
      </w:r>
      <w:r w:rsidR="00643A57">
        <w:t>, teorii decyzji</w:t>
      </w:r>
      <w:r w:rsidRPr="0011275C">
        <w:t xml:space="preserve"> i w wybranych pokrewnych dyscyplinach naukowych w zakresie </w:t>
      </w:r>
      <w:r w:rsidR="00643A57">
        <w:t>inteligentnego</w:t>
      </w:r>
      <w:r w:rsidRPr="0011275C">
        <w:t xml:space="preserve"> wspomagania decyzji [K2st_W4]</w:t>
      </w:r>
    </w:p>
    <w:p w14:paraId="5C1C7586" w14:textId="4A1448A5" w:rsidR="0011275C" w:rsidRPr="0011275C" w:rsidRDefault="0011275C" w:rsidP="0011275C">
      <w:r w:rsidRPr="0011275C">
        <w:t>4. Ma zaawansowaną wiedzę o cyklu życia inteligentnych systemów wspomagania decyzji [K2st_W5]</w:t>
      </w:r>
    </w:p>
    <w:p w14:paraId="4AD584F3" w14:textId="6D0AA414" w:rsidR="0011275C" w:rsidRPr="0011275C" w:rsidRDefault="0011275C" w:rsidP="0011275C">
      <w:r w:rsidRPr="0011275C">
        <w:t xml:space="preserve">5. Zna  podstawowe metody, techniki i narzędzia stosowane przy </w:t>
      </w:r>
      <w:r w:rsidR="00643A57">
        <w:t>inteligent</w:t>
      </w:r>
      <w:r w:rsidRPr="0011275C">
        <w:t>nym wspomaganiu decyzji - [K2st_W6]</w:t>
      </w:r>
    </w:p>
    <w:p w14:paraId="7C5A2DFF" w14:textId="64C66FB3" w:rsidR="0011275C" w:rsidRPr="0011275C" w:rsidRDefault="0011275C" w:rsidP="0011275C">
      <w:r w:rsidRPr="0011275C">
        <w:t xml:space="preserve">6. Ma szczegółową wiedzę w zakresie wybranych działów matematyki, sztucznej inteligencji, zarządzania </w:t>
      </w:r>
      <w:r w:rsidR="00643A57">
        <w:t xml:space="preserve">i </w:t>
      </w:r>
      <w:r w:rsidR="00643A57" w:rsidRPr="00643A57">
        <w:t>kognitywistyki</w:t>
      </w:r>
      <w:r w:rsidRPr="0011275C">
        <w:t xml:space="preserve">, związanych z </w:t>
      </w:r>
      <w:r w:rsidR="00643A57">
        <w:t>inteligentnym</w:t>
      </w:r>
      <w:r w:rsidRPr="0011275C">
        <w:t xml:space="preserve"> wspomaganiem decyzji oraz szeroko rozumianą teorią decyzji [-]</w:t>
      </w:r>
    </w:p>
    <w:p w14:paraId="2D7194DF" w14:textId="5029F36D" w:rsidR="00361008" w:rsidRPr="0053341E" w:rsidRDefault="0011275C" w:rsidP="0011275C">
      <w:pPr>
        <w:rPr>
          <w:rStyle w:val="Poleformualrza"/>
          <w:sz w:val="24"/>
          <w:szCs w:val="24"/>
        </w:rPr>
      </w:pPr>
      <w:r w:rsidRPr="0011275C">
        <w:t xml:space="preserve">7. Zna przykładowe praktyczne zastosowania metod </w:t>
      </w:r>
      <w:r w:rsidR="00643A57">
        <w:t>inteligent</w:t>
      </w:r>
      <w:r w:rsidRPr="0011275C">
        <w:t>nego wspomagania decyzji</w:t>
      </w:r>
      <w:r w:rsidR="00643A57">
        <w:t xml:space="preserve"> [-]</w:t>
      </w:r>
      <w:r w:rsidR="009F22E0" w:rsidRPr="009F22E0">
        <w:fldChar w:fldCharType="end"/>
      </w:r>
    </w:p>
    <w:p w14:paraId="5EB9F790" w14:textId="2A550422" w:rsidR="005D1FD0" w:rsidRPr="005D1FD0" w:rsidRDefault="00361008" w:rsidP="005D1FD0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5D1FD0" w:rsidRPr="005D1FD0">
        <w:t>1. Potrafi pozyskiwać informacje z literatury (w języku ojczystym i angielskim), integrować je, dokonywać ich interpretacji i krytycznej oceny, wyciągać wnioski oraz formułować i wyczerpująco uzasadniać opinie [K2st_U1]</w:t>
      </w:r>
    </w:p>
    <w:p w14:paraId="1F5B2CC0" w14:textId="140BD314" w:rsidR="005D1FD0" w:rsidRPr="005D1FD0" w:rsidRDefault="005D1FD0" w:rsidP="005D1FD0">
      <w:r w:rsidRPr="005D1FD0">
        <w:t xml:space="preserve">2. Potrafi wykorzystać do formułowania i rozwiązywania zadań inżynierskich i problemów </w:t>
      </w:r>
      <w:r w:rsidR="00D369BB">
        <w:t>inteligentnego wspomagania decyzji</w:t>
      </w:r>
      <w:r w:rsidRPr="005D1FD0">
        <w:t xml:space="preserve"> metody analityczne, symulacyjne oraz eksperymentalne  [K2st_U4]</w:t>
      </w:r>
    </w:p>
    <w:p w14:paraId="07D088A3" w14:textId="3CB7A399" w:rsidR="005D1FD0" w:rsidRPr="005D1FD0" w:rsidRDefault="005D1FD0" w:rsidP="005D1FD0">
      <w:r w:rsidRPr="005D1FD0">
        <w:t xml:space="preserve">3. Potrafi - przy formułowaniu i rozwiązywaniu zadań inżynierskich - integrować wiedzę z różnych obszarów informatyki (a w razie potrzeby także matematyki, </w:t>
      </w:r>
      <w:r w:rsidR="00D369BB">
        <w:t xml:space="preserve">sztucznej inteligencji, zarządzania i </w:t>
      </w:r>
      <w:r w:rsidRPr="005D1FD0">
        <w:t>kognitywistyki) oraz zastosować podejście systemowe, uwzględniające także aspekty pozatechniczne</w:t>
      </w:r>
      <w:r w:rsidR="008518EE">
        <w:t xml:space="preserve"> </w:t>
      </w:r>
      <w:r w:rsidRPr="005D1FD0">
        <w:t>[K2st_U5]</w:t>
      </w:r>
    </w:p>
    <w:p w14:paraId="6616823F" w14:textId="21B3B7DA" w:rsidR="005D1FD0" w:rsidRPr="005D1FD0" w:rsidRDefault="005D1FD0" w:rsidP="005D1FD0">
      <w:r w:rsidRPr="005D1FD0">
        <w:t xml:space="preserve">4. Potrafi ocenić przydatność i możliwość wykorzystania nowych osiągnięć (metod i narzędzi) oraz nowych produktów informatycznych w zakresie </w:t>
      </w:r>
      <w:r w:rsidR="00D369BB">
        <w:t>inteligent</w:t>
      </w:r>
      <w:r w:rsidRPr="005D1FD0">
        <w:t>nego wspomagania decyzji  [K2st_U6]</w:t>
      </w:r>
    </w:p>
    <w:p w14:paraId="088F8B19" w14:textId="03ADE274" w:rsidR="005D1FD0" w:rsidRPr="005D1FD0" w:rsidRDefault="005D1FD0" w:rsidP="005D1FD0">
      <w:r w:rsidRPr="005D1FD0">
        <w:t>5. Potrafi - stosując m.in. koncepcyjnie nowe metody - rozwiązywać złożone zadania informatyczne, w</w:t>
      </w:r>
      <w:r w:rsidR="008518EE">
        <w:t> </w:t>
      </w:r>
      <w:r w:rsidRPr="005D1FD0">
        <w:t>tym zadania nietypowe oraz zadania zawierające komponent badawczy  [K2st_U10]</w:t>
      </w:r>
    </w:p>
    <w:p w14:paraId="05D7FA41" w14:textId="0B580EFD" w:rsidR="005D1FD0" w:rsidRPr="005D1FD0" w:rsidRDefault="005D1FD0" w:rsidP="005D1FD0">
      <w:r w:rsidRPr="005D1FD0">
        <w:t>6. Potrafi określić kierunki dalszego uczenia się i zrealizować proces samokształcenia, w tym innych osób [K2st_U16]</w:t>
      </w:r>
    </w:p>
    <w:p w14:paraId="7968F8E3" w14:textId="5D458320" w:rsidR="00361008" w:rsidRPr="0053341E" w:rsidRDefault="005D1FD0" w:rsidP="005D1FD0">
      <w:pPr>
        <w:rPr>
          <w:rStyle w:val="Poleformualrza"/>
          <w:sz w:val="24"/>
          <w:szCs w:val="24"/>
        </w:rPr>
      </w:pPr>
      <w:r w:rsidRPr="005D1FD0">
        <w:t xml:space="preserve">7. Potrafi </w:t>
      </w:r>
      <w:r w:rsidR="00D369BB">
        <w:t>formuło</w:t>
      </w:r>
      <w:r w:rsidRPr="005D1FD0">
        <w:t xml:space="preserve">wać problemy decyzyjne, modelować preference </w:t>
      </w:r>
      <w:r w:rsidR="00D369BB">
        <w:t>juczestników procesu decyzyjnego</w:t>
      </w:r>
      <w:r w:rsidRPr="005D1FD0">
        <w:t xml:space="preserve"> oraz projektować metody analizy wielokryterialnej </w:t>
      </w:r>
      <w:r w:rsidR="00D369BB" w:rsidRPr="00D369BB">
        <w:t>w warunkach deterministycznych i w warunkach ryzyka i niepewności</w:t>
      </w:r>
      <w:r w:rsidRPr="005D1FD0">
        <w:t xml:space="preserve"> [-]</w:t>
      </w:r>
      <w:r w:rsidR="009F22E0" w:rsidRPr="009F22E0">
        <w:fldChar w:fldCharType="end"/>
      </w:r>
    </w:p>
    <w:p w14:paraId="1AEDFF6A" w14:textId="5491775D" w:rsidR="004717DA" w:rsidRPr="004717DA" w:rsidRDefault="00361008" w:rsidP="004717DA">
      <w:r w:rsidRPr="0053341E">
        <w:rPr>
          <w:color w:val="808080" w:themeColor="background1" w:themeShade="80"/>
          <w:szCs w:val="24"/>
        </w:rPr>
        <w:lastRenderedPageBreak/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4717DA" w:rsidRPr="004717DA">
        <w:t>1. Rozumie, że w informatyce, a zwłaszcza w komputerowym wspomaganiu decyzji, wiedza, technologie i umiejętności bardzo szybko stają się przestarzałe K2st_K1]</w:t>
      </w:r>
    </w:p>
    <w:p w14:paraId="376C5070" w14:textId="00D5CAAA" w:rsidR="004717DA" w:rsidRPr="004717DA" w:rsidRDefault="004717DA" w:rsidP="004717DA">
      <w:r w:rsidRPr="004717DA">
        <w:t xml:space="preserve">2. Rozumie znaczenie wykorzystywania najnowszej wiedzy z zakresu teorii </w:t>
      </w:r>
      <w:r w:rsidR="00D369BB">
        <w:t xml:space="preserve">decyzji </w:t>
      </w:r>
      <w:r w:rsidRPr="004717DA">
        <w:t xml:space="preserve">oraz </w:t>
      </w:r>
      <w:r w:rsidR="00D369BB">
        <w:t>sztucznej inteligencji</w:t>
      </w:r>
      <w:r w:rsidRPr="004717DA">
        <w:t xml:space="preserve"> w rozwiązywaniu problemów badawczych i praktycznych [K2st_K2]</w:t>
      </w:r>
    </w:p>
    <w:p w14:paraId="5156A4BD" w14:textId="56B6C16F" w:rsidR="004717DA" w:rsidRPr="004717DA" w:rsidRDefault="004717DA" w:rsidP="004717DA">
      <w:r w:rsidRPr="004717DA">
        <w:t>3. Rozumie znaczenie działalności popularyzatorskiej dotyczącej najnowszych osiągnięć  w zakresie inteligentnych systemów wspomagania decyzji [K2st_K3]</w:t>
      </w:r>
    </w:p>
    <w:p w14:paraId="4B21206A" w14:textId="734C02DF" w:rsidR="00361008" w:rsidRPr="0053341E" w:rsidRDefault="004717DA" w:rsidP="004717DA">
      <w:pPr>
        <w:rPr>
          <w:rStyle w:val="Poleformualrza"/>
          <w:sz w:val="24"/>
          <w:szCs w:val="24"/>
        </w:rPr>
      </w:pPr>
      <w:r w:rsidRPr="004717DA">
        <w:t xml:space="preserve">4. Potrafi współdziałać i pracować w grupie, przyjmując w niej różne role: analityka, decydenta lub projektanta systemu </w:t>
      </w:r>
      <w:r w:rsidR="00D369BB">
        <w:t>inteligent</w:t>
      </w:r>
      <w:r w:rsidRPr="004717DA">
        <w:t>nego wspomagania decyzji [-]</w:t>
      </w:r>
      <w:r w:rsidR="009F22E0" w:rsidRPr="009F22E0">
        <w:fldChar w:fldCharType="end"/>
      </w:r>
    </w:p>
    <w:p w14:paraId="5772ECDE" w14:textId="4B85E745" w:rsidR="0037609B" w:rsidRPr="0037609B" w:rsidRDefault="00044237" w:rsidP="0037609B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37609B" w:rsidRPr="0037609B">
        <w:t>Ocena formująca:</w:t>
      </w:r>
    </w:p>
    <w:p w14:paraId="6EF5F250" w14:textId="77777777" w:rsidR="0037609B" w:rsidRPr="0037609B" w:rsidRDefault="0037609B" w:rsidP="0037609B">
      <w:r w:rsidRPr="0037609B">
        <w:t xml:space="preserve">a) w zakresie wykładów:  </w:t>
      </w:r>
    </w:p>
    <w:p w14:paraId="6C5DD5F4" w14:textId="77777777" w:rsidR="0037609B" w:rsidRPr="0037609B" w:rsidRDefault="0037609B" w:rsidP="0037609B">
      <w:r w:rsidRPr="0037609B">
        <w:t>- na podstawie odpowiedzi na pytania dotyczące materiału omówionego na wykładach.</w:t>
      </w:r>
    </w:p>
    <w:p w14:paraId="66E5EB3F" w14:textId="77777777" w:rsidR="0037609B" w:rsidRPr="0037609B" w:rsidRDefault="0037609B" w:rsidP="0037609B">
      <w:r w:rsidRPr="0037609B">
        <w:t xml:space="preserve">b) w zakresie laboratoriów / ćwiczeń: </w:t>
      </w:r>
    </w:p>
    <w:p w14:paraId="1D7EC899" w14:textId="77777777" w:rsidR="0037609B" w:rsidRPr="0037609B" w:rsidRDefault="0037609B" w:rsidP="0037609B">
      <w:r w:rsidRPr="0037609B">
        <w:t>- na podstawie oceny bieżącego postępu realizacji zadań.</w:t>
      </w:r>
    </w:p>
    <w:p w14:paraId="23E260F6" w14:textId="77777777" w:rsidR="0037609B" w:rsidRPr="0037609B" w:rsidRDefault="0037609B" w:rsidP="0037609B">
      <w:r w:rsidRPr="0037609B">
        <w:t>Ocena podsumowująca:</w:t>
      </w:r>
    </w:p>
    <w:p w14:paraId="3EAE8CDE" w14:textId="77777777" w:rsidR="0037609B" w:rsidRPr="0037609B" w:rsidRDefault="0037609B" w:rsidP="0037609B">
      <w:r w:rsidRPr="0037609B">
        <w:t>a)  w zakresie wykładów weryfikowanie założonych efektów kształcenia realizowane jest przez:</w:t>
      </w:r>
    </w:p>
    <w:p w14:paraId="5A215193" w14:textId="0DE50318" w:rsidR="0037609B" w:rsidRPr="0037609B" w:rsidRDefault="0037609B" w:rsidP="0037609B">
      <w:r w:rsidRPr="0037609B">
        <w:t xml:space="preserve">- </w:t>
      </w:r>
      <w:r w:rsidR="00A863C3" w:rsidRPr="00A863C3">
        <w:t xml:space="preserve">ocenę wiedzy i umiejętności wykazanych na </w:t>
      </w:r>
      <w:r w:rsidR="00A863C3">
        <w:t>egzaminie</w:t>
      </w:r>
      <w:r w:rsidR="00A863C3" w:rsidRPr="00A863C3">
        <w:t xml:space="preserve"> pisemnym o różnej charakterystyce problemów do rozwiązania: pytania testowe wielokrotnego wyboru, treść do uzupełnienia, proste zadania obliczeniowe lub algorytmiczne oraz zadania problemowe o większej złożoności; kolokwium jest zaliczone pod warunkiem uzyskania co najmniej połowy punktów.</w:t>
      </w:r>
    </w:p>
    <w:p w14:paraId="4B435BA7" w14:textId="77777777" w:rsidR="0037609B" w:rsidRPr="0037609B" w:rsidRDefault="0037609B" w:rsidP="0037609B">
      <w:r w:rsidRPr="0037609B">
        <w:t xml:space="preserve">- omówienie wyników egzaminu, </w:t>
      </w:r>
    </w:p>
    <w:p w14:paraId="721FFB0B" w14:textId="77777777" w:rsidR="0037609B" w:rsidRDefault="0037609B" w:rsidP="0037609B">
      <w:r w:rsidRPr="0037609B">
        <w:t>b)  w zakresie laboratoriów / ćwiczeń weryfikowanie założonych efektów kształcenia realizowane jest przez:</w:t>
      </w:r>
    </w:p>
    <w:p w14:paraId="7A076012" w14:textId="770B2047" w:rsidR="00A863C3" w:rsidRDefault="00A863C3" w:rsidP="00A863C3">
      <w:r>
        <w:t xml:space="preserve">- ocenę wiedzy i umiejętności związanych z realizacją ćwiczeń laboratoryjnych oraz zadań programistycznych, a także realizację projektów rozwiązujących konkretne przypadki użycia (ang. case study); </w:t>
      </w:r>
    </w:p>
    <w:p w14:paraId="3CA29BB6" w14:textId="00E241AD" w:rsidR="00A863C3" w:rsidRPr="0037609B" w:rsidRDefault="00A863C3" w:rsidP="0037609B">
      <w:r>
        <w:t>- ocenę sprawozdań przygotowywanych częściowo w trakcie zajęć, a częściowo po ich zakończeniu; ocena ta obejmuje także umiejętność pracy w zespole.</w:t>
      </w:r>
    </w:p>
    <w:p w14:paraId="5FFED666" w14:textId="77777777" w:rsidR="00A863C3" w:rsidRDefault="00A863C3" w:rsidP="00A863C3">
      <w:r>
        <w:t>Uzyskiwanie punktów dodatkowych za aktywność podczas zajęć, a szczególnie za:</w:t>
      </w:r>
    </w:p>
    <w:p w14:paraId="4E73FD84" w14:textId="21092B45" w:rsidR="00A863C3" w:rsidRDefault="00A863C3" w:rsidP="00A863C3">
      <w:r>
        <w:t>- omówienie dodatkowych aspektów zagadnienia,</w:t>
      </w:r>
    </w:p>
    <w:p w14:paraId="52D19176" w14:textId="1ED2F9D8" w:rsidR="00A863C3" w:rsidRDefault="00A863C3" w:rsidP="00A863C3">
      <w:r>
        <w:lastRenderedPageBreak/>
        <w:t>- efektywność zastosowania zdobytej wiedzy podczas rozwiązywania zadanego problemu,</w:t>
      </w:r>
    </w:p>
    <w:p w14:paraId="4CC633E8" w14:textId="6F69607A" w:rsidR="00A863C3" w:rsidRDefault="00A863C3" w:rsidP="00A863C3">
      <w:r>
        <w:t>- umiejętność współpracy w ramach zespołu praktycznie realizującego zadanie szczegółowe w laboratorium,</w:t>
      </w:r>
    </w:p>
    <w:p w14:paraId="6AC23587" w14:textId="7E087B9F" w:rsidR="00A863C3" w:rsidRDefault="00A863C3" w:rsidP="00A863C3">
      <w:r>
        <w:t>- rozwój oprogramowania przydatnego w zajęciach laboratoryjnych.</w:t>
      </w:r>
    </w:p>
    <w:p w14:paraId="50E55767" w14:textId="54DB4FBC" w:rsidR="005E1096" w:rsidRPr="0053341E" w:rsidRDefault="0037609B" w:rsidP="0037609B">
      <w:pPr>
        <w:rPr>
          <w:rStyle w:val="Poleformualrza"/>
          <w:sz w:val="24"/>
          <w:szCs w:val="24"/>
        </w:rPr>
      </w:pPr>
      <w:r w:rsidRPr="0037609B">
        <w:t>Ocena z laboratorium wystawiana jest na podstawie sumarycznej liczby punktów zgodnie ze skalą: co najmniej 50% punktów - 3.0; 60% - 3.5; 70% - 4.0; 80% - 4.5; 90% - 5.0.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19513788" w14:textId="77777777" w:rsidR="00E8322A" w:rsidRDefault="009F22E0" w:rsidP="00E8322A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C4681D" w:rsidRPr="00C4681D">
        <w:t>Program wykładu obejmuje następujące zagadnienia:</w:t>
      </w:r>
    </w:p>
    <w:p w14:paraId="5ECEBB28" w14:textId="777AB437" w:rsidR="00E8322A" w:rsidRPr="00E8322A" w:rsidRDefault="00E8322A" w:rsidP="00E8322A">
      <w:r w:rsidRPr="00E8322A">
        <w:t>1.</w:t>
      </w:r>
      <w:r>
        <w:t xml:space="preserve"> </w:t>
      </w:r>
      <w:r w:rsidRPr="00E8322A">
        <w:t xml:space="preserve">Inteligentne Systemy Wspomagania Decyzji (ISWD) - definicje. Problemy decyzyjne: wybór (optymalizacja), klasyfikacja (porządkowa), ranking. Aspekt wielowymiarowości i metody rozstrzygania konfliktów między wymiarami: wielu decydentów (negocjacje i grupowe podejmowanie decyzji), wiele kryteriów (wielokryterialne wspomaganie decyzji), wiele stanów natury (podejmowanie decyzji w warunkach ryzyka i niepewności). Proces wspomagania decyzji: pozyskiwanie informacji preferencyjnych, konstrukcja modelu preferencji, wypracowanie rekomendacji. Zastosowanie paradygmatu sztucznej inteligencji do konstruktywnego uczenia się preferencji. </w:t>
      </w:r>
    </w:p>
    <w:p w14:paraId="3BEED442" w14:textId="48D3927F" w:rsidR="00E8322A" w:rsidRPr="00E8322A" w:rsidRDefault="00E8322A" w:rsidP="00E8322A">
      <w:r w:rsidRPr="00E8322A">
        <w:t>2.</w:t>
      </w:r>
      <w:r>
        <w:t xml:space="preserve"> </w:t>
      </w:r>
      <w:r w:rsidRPr="00E8322A">
        <w:t xml:space="preserve">Modele preferencji dla wielowymiarowych problemów decyzyjnych: (i) funkcja użyteczności, (ii) system relacyjny, (iii) zbiór reguł decyzyjnych. </w:t>
      </w:r>
    </w:p>
    <w:p w14:paraId="5451C2F0" w14:textId="4978CD7B" w:rsidR="00E8322A" w:rsidRPr="00E8322A" w:rsidRDefault="00E8322A" w:rsidP="00E8322A">
      <w:r w:rsidRPr="00E8322A">
        <w:t>3.</w:t>
      </w:r>
      <w:r>
        <w:t xml:space="preserve"> </w:t>
      </w:r>
      <w:r w:rsidRPr="00E8322A">
        <w:t>ISWD oparte na funkcyjnym modelu preferencji: metody odpornej regresji porządkowej</w:t>
      </w:r>
      <w:r w:rsidR="00A870DC">
        <w:t>,</w:t>
      </w:r>
      <w:r w:rsidRPr="00E8322A">
        <w:t xml:space="preserve"> metoda hierarchicznej analizy problemu (AHP). Reprezentacja interakcji – całk</w:t>
      </w:r>
      <w:r w:rsidR="00A870DC">
        <w:t xml:space="preserve">a </w:t>
      </w:r>
      <w:r w:rsidRPr="00E8322A">
        <w:t xml:space="preserve">Choquet. Powiązania z analizą stochastycznej akceptowalności </w:t>
      </w:r>
      <w:r w:rsidR="00313388">
        <w:t>(</w:t>
      </w:r>
      <w:r w:rsidRPr="00E8322A">
        <w:t>SMAA</w:t>
      </w:r>
      <w:r w:rsidR="00313388">
        <w:t>)</w:t>
      </w:r>
      <w:r w:rsidRPr="00E8322A">
        <w:t>.</w:t>
      </w:r>
    </w:p>
    <w:p w14:paraId="5FB05EA8" w14:textId="2D1B910A" w:rsidR="00E8322A" w:rsidRPr="00E8322A" w:rsidRDefault="00E8322A" w:rsidP="00E8322A">
      <w:r w:rsidRPr="00E8322A">
        <w:t>4.</w:t>
      </w:r>
      <w:r>
        <w:t xml:space="preserve"> </w:t>
      </w:r>
      <w:r w:rsidRPr="00E8322A">
        <w:t>ISWD oparte na relacyjnym modelu preferencji: metody z relacją przewyższania (ELECTRE III/IV</w:t>
      </w:r>
      <w:r w:rsidR="00A870DC">
        <w:t>, PROMETHEE I/II</w:t>
      </w:r>
      <w:r w:rsidRPr="00E8322A">
        <w:t xml:space="preserve">), metody odpornej regresji porządkowej </w:t>
      </w:r>
      <w:r w:rsidR="00313388">
        <w:t>(</w:t>
      </w:r>
      <w:r w:rsidRPr="00E8322A">
        <w:t>ELECTRE^GKMS).</w:t>
      </w:r>
    </w:p>
    <w:p w14:paraId="0C2C3B56" w14:textId="4069BB39" w:rsidR="00E8322A" w:rsidRPr="00E8322A" w:rsidRDefault="00E8322A" w:rsidP="00E8322A">
      <w:r w:rsidRPr="00E8322A">
        <w:t>5.</w:t>
      </w:r>
      <w:r>
        <w:t xml:space="preserve"> </w:t>
      </w:r>
      <w:r w:rsidRPr="00E8322A">
        <w:t>ISWD oparte na regułowym modelu preferencji: metody wykorzystujące dominacyjną teorię zbiorów przybliżonych (DRSA) dla wieloatrybutowej klasyfikacji porządkowej i rankingu.</w:t>
      </w:r>
    </w:p>
    <w:p w14:paraId="17ECFFBA" w14:textId="1597E6A1" w:rsidR="00E8322A" w:rsidRDefault="00E8322A" w:rsidP="00E8322A">
      <w:r w:rsidRPr="00E8322A">
        <w:t>6.</w:t>
      </w:r>
      <w:r>
        <w:t xml:space="preserve"> </w:t>
      </w:r>
      <w:r w:rsidRPr="00E8322A">
        <w:t xml:space="preserve">ISWD dla wspomagania negocjacji i decyzji grupowych. </w:t>
      </w:r>
    </w:p>
    <w:p w14:paraId="057631B1" w14:textId="35B1DDAA" w:rsidR="00A870DC" w:rsidRDefault="00A870DC" w:rsidP="00A870DC">
      <w:r>
        <w:t xml:space="preserve">7. Gry strategiczne: zastosowanie teorii gier w różnych dziedzinach, pojęcia stabilności i efektywności, mechanizmy rozstrzygania gier, strategie dominujące, Pareto optymalność, czysta i mieszana równowaga Nasha, iteracyjna eliminacja strategii zdominowanych, równowaga skorelowana. </w:t>
      </w:r>
    </w:p>
    <w:p w14:paraId="225D04D5" w14:textId="030398D6" w:rsidR="00A870DC" w:rsidRDefault="00A870DC" w:rsidP="00A870DC">
      <w:r>
        <w:t>8. Gry zatłoczenia: przykłady i definicje; gry potencjalne jako narzędzie analizy gry zatłoczenia; istnieje równowagi, dynamika lepsze odpowiedzi, cena anarchii.</w:t>
      </w:r>
    </w:p>
    <w:p w14:paraId="658F1553" w14:textId="0E2AED4E" w:rsidR="00A870DC" w:rsidRDefault="00A870DC" w:rsidP="00A870DC">
      <w:r>
        <w:t xml:space="preserve">9. Gry rozległe (ekstensywne): reprezentacja w postaci drzewa dla gier z pełną informacją, strategie rozłożone w czasie, określenie najlepszej odpowiedzi przy wzięciu pod uwagę kolejności podejmowania akcji; perfekcja we fragmencie gry; algorytm wstecznej indukcji; słynne gry: ultimatum i stonoga. </w:t>
      </w:r>
    </w:p>
    <w:p w14:paraId="438EB037" w14:textId="34A951C5" w:rsidR="00A870DC" w:rsidRDefault="00A870DC" w:rsidP="00A870DC">
      <w:r>
        <w:lastRenderedPageBreak/>
        <w:t>10. Graniczna analiza danych (ang. data envelopment analysis): badanie efektywności jednostek decyzyjnych, rzeczywiste przykłady zastosowań analizy efektywności, modele CCR i BCC nastawione na zmniejszenie nakładów lub zwiększenie efektów, super-efektywność, efektywność krzyżowa, ograniczenia na wagi, analiza odporności, wykorzystanie symulacji Monte Carlo.</w:t>
      </w:r>
    </w:p>
    <w:p w14:paraId="540B0891" w14:textId="0CCB7E49" w:rsidR="00A870DC" w:rsidRDefault="00A870DC" w:rsidP="00A870DC">
      <w:r>
        <w:t>11. Metody optymalizacji wielokryterialnej: przykłady rzeczywistych problemów, podejścia klasyczne oparte na sumie ważonej, ograniczeniach z wykorzystaniem "epsilona" oraz funkcji skalaryzującej osiągu, algorytmy ewolucyjne bazujące na frontach (NSGA-II i SPEA2), wskaźnikach (SMS EMOA) oraz mechanizmie dekompozycji (MOEA/D).</w:t>
      </w:r>
    </w:p>
    <w:p w14:paraId="358FAB4C" w14:textId="6AACAE5D" w:rsidR="00A870DC" w:rsidRPr="00E8322A" w:rsidRDefault="00A870DC" w:rsidP="00E8322A">
      <w:pPr>
        <w:rPr>
          <w:lang w:val="en-US"/>
        </w:rPr>
      </w:pPr>
      <w:r>
        <w:t>12.  Uczenie preferencji: przykłady zastosowań uczenia preferencji, miary oceny działania metod, podstawowe techniki uczenia preferencji.</w:t>
      </w:r>
    </w:p>
    <w:p w14:paraId="645776F8" w14:textId="7EA38494" w:rsidR="005E1096" w:rsidRPr="0053341E" w:rsidRDefault="004F273C">
      <w:pPr>
        <w:rPr>
          <w:rStyle w:val="Poleformualrza"/>
          <w:sz w:val="24"/>
          <w:szCs w:val="24"/>
        </w:rPr>
      </w:pPr>
      <w:r w:rsidRPr="004F273C">
        <w:t>Zajęcia laboratoryjne prowadzone są w formie piętnastu 2-godzinnych ćwiczeń, odbywających się w laboratorium.</w:t>
      </w:r>
      <w:r w:rsidR="00315557">
        <w:t xml:space="preserve"> </w:t>
      </w:r>
      <w:r w:rsidR="00315557" w:rsidRPr="00315557">
        <w:t>Poszczególne zagadnienia omawiane w ramach wykładu są ilustrowane zadaniami podczas zajęć laboratoryjnych. Ponadto studenci analizują rzeczywiste problemy decyzyjne (ang. case study), które pozwalają na zastosowania wiedzy nt. poznanych metodologii w praktyce.</w:t>
      </w:r>
      <w:r w:rsidR="00315557">
        <w:t xml:space="preserve"> </w:t>
      </w:r>
      <w:r w:rsidR="009F22E0"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07AE3DF1" w14:textId="137B4576" w:rsidR="00315557" w:rsidRDefault="009F22E0" w:rsidP="00315557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315557">
        <w:t xml:space="preserve">Wykład: </w:t>
      </w:r>
      <w:r w:rsidR="006E1255" w:rsidRPr="006E1255">
        <w:t xml:space="preserve"> prezentacja multimedialna uzupełniona przykładami ilustracyjnymi. Demonstracja wybranych systemów z dziedziny algorytmicznej teorii decyzji</w:t>
      </w:r>
      <w:r w:rsidR="00315557">
        <w:t>.</w:t>
      </w:r>
    </w:p>
    <w:p w14:paraId="4DE4FC01" w14:textId="63A6BB21" w:rsidR="00940543" w:rsidRPr="0053341E" w:rsidRDefault="00315557">
      <w:pPr>
        <w:rPr>
          <w:rStyle w:val="Poleformualrza"/>
          <w:b/>
          <w:color w:val="006991"/>
          <w:sz w:val="24"/>
          <w:szCs w:val="24"/>
        </w:rPr>
      </w:pPr>
      <w:r>
        <w:t xml:space="preserve">Ćwiczenia laboratoryjne: </w:t>
      </w:r>
      <w:r w:rsidR="006E1255" w:rsidRPr="006E1255">
        <w:t>rozwiązywanie zadań, ćwiczenia praktyczne i programistyczne, dyskusja, praca w zespole, studium przypadków, demonstracja wybranych systemów, generowanie realnych problemów decyzyjnych i rozwiązywanie ich metodami dostępnymi w laboratorium, pokaz multimedialny.</w:t>
      </w:r>
      <w:r>
        <w:t xml:space="preserve"> </w:t>
      </w:r>
      <w:r w:rsidR="009F22E0" w:rsidRPr="009F22E0">
        <w:fldChar w:fldCharType="end"/>
      </w:r>
    </w:p>
    <w:p w14:paraId="64A48F92" w14:textId="77777777" w:rsidR="00940543" w:rsidRPr="00313388" w:rsidRDefault="00940543" w:rsidP="00940543">
      <w:pPr>
        <w:rPr>
          <w:rStyle w:val="Poleformualrza"/>
          <w:b/>
          <w:color w:val="006991"/>
          <w:sz w:val="24"/>
          <w:szCs w:val="24"/>
          <w:lang w:val="en-US"/>
        </w:rPr>
      </w:pPr>
      <w:r w:rsidRPr="00313388">
        <w:rPr>
          <w:rStyle w:val="Poleformualrza"/>
          <w:b/>
          <w:color w:val="006991"/>
          <w:sz w:val="24"/>
          <w:szCs w:val="24"/>
          <w:lang w:val="en-US"/>
        </w:rPr>
        <w:t>Literatura</w:t>
      </w:r>
    </w:p>
    <w:p w14:paraId="1445C077" w14:textId="77777777" w:rsidR="009207A1" w:rsidRPr="009207A1" w:rsidRDefault="00940543" w:rsidP="009207A1">
      <w:pPr>
        <w:rPr>
          <w:lang w:val="en-US"/>
        </w:rPr>
      </w:pPr>
      <w:r w:rsidRPr="002A1594">
        <w:rPr>
          <w:color w:val="808080" w:themeColor="background1" w:themeShade="80"/>
          <w:szCs w:val="24"/>
          <w:lang w:val="en-US"/>
        </w:rPr>
        <w:t>P</w:t>
      </w:r>
      <w:r w:rsidR="005E1096" w:rsidRPr="002A1594">
        <w:rPr>
          <w:color w:val="808080" w:themeColor="background1" w:themeShade="80"/>
          <w:szCs w:val="24"/>
          <w:lang w:val="en-US"/>
        </w:rPr>
        <w:t>odstawowa</w:t>
      </w:r>
      <w:r w:rsidR="005E1096" w:rsidRPr="002A1594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A1594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207A1" w:rsidRPr="009207A1">
        <w:rPr>
          <w:lang w:val="en-US"/>
        </w:rPr>
        <w:t xml:space="preserve">S.Greco, M.Ehrgott, J.R. Figueira (eds.), Multiple Criteria Decision Analysis: State of the Art Surveys, Springer, 2016; https://doi.org/10.1007/978-1-4939-3094-4 </w:t>
      </w:r>
    </w:p>
    <w:p w14:paraId="52F5458F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 xml:space="preserve">S.Corrente, S.Greco, M.Kadziński, R.Słowiński, Robust Ordinal Regression in Preference Learning and Ranking,  Machine Learning, 93 (2013) 381-422; https://doi.org/10.1007/s10994-013-5365-4 </w:t>
      </w:r>
    </w:p>
    <w:p w14:paraId="267A5EDC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 xml:space="preserve">R. Słowiński, Y. Yao (eds.), Rough Sets, Part C of the Handbook of Computational Intelligence, Springer, 2015, pp. 329-451; http://dx.doi.org/10.1007/978-3-662-43505-2 </w:t>
      </w:r>
    </w:p>
    <w:p w14:paraId="3F95E494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 xml:space="preserve">M. Cinelli, M. Kadziński, M. Gonzalez, R. Słowiński, How to Support the Application of Multiple Criteria Decision Analysis? Let Us Start with a Comprehensive Taxonomy, Omega, 96 (2020) 102261; https://doi.org/10.1016/j.omega.2020.102261 </w:t>
      </w:r>
    </w:p>
    <w:p w14:paraId="746EE69E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>P. Straffin, Teoria gier. Wydawnictwo Naukowe Scholar, Warszawa, 2001.</w:t>
      </w:r>
    </w:p>
    <w:p w14:paraId="5D9227F8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>J. Branke, K. Deb, K. Miettinen, R. Słowiński, Multiobjective Optimization: Interactive and Evolutionary Approaches. Springer, Berlin, 2008.</w:t>
      </w:r>
    </w:p>
    <w:p w14:paraId="4B143693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lastRenderedPageBreak/>
        <w:t>W.W. Cooper, L.M. Seiford, M. Lawrence, K. Tone, Data Envelopment Analysis: A Comprehensive Text with Models, Applications, References and DEA-Solver Software, Springer, US, 2007.</w:t>
      </w:r>
    </w:p>
    <w:p w14:paraId="1824D2BF" w14:textId="4EB30A60" w:rsidR="005E1096" w:rsidRPr="00C4681D" w:rsidRDefault="009207A1" w:rsidP="009207A1">
      <w:pPr>
        <w:rPr>
          <w:rStyle w:val="Poleformualrza"/>
          <w:sz w:val="24"/>
          <w:szCs w:val="24"/>
          <w:lang w:val="en-US"/>
        </w:rPr>
      </w:pPr>
      <w:r w:rsidRPr="009207A1">
        <w:rPr>
          <w:lang w:val="en-US"/>
        </w:rPr>
        <w:t>J. Fürnkranz, E. Hüllermeier, Preference Learning. Springer, Berlin, 2010.</w:t>
      </w:r>
      <w:r w:rsidR="009F22E0" w:rsidRPr="009F22E0">
        <w:fldChar w:fldCharType="end"/>
      </w:r>
    </w:p>
    <w:p w14:paraId="72AF7FC9" w14:textId="77777777" w:rsidR="009207A1" w:rsidRPr="009207A1" w:rsidRDefault="00940543" w:rsidP="009207A1">
      <w:pPr>
        <w:rPr>
          <w:lang w:val="en-US"/>
        </w:rPr>
      </w:pPr>
      <w:r w:rsidRPr="002A1594">
        <w:rPr>
          <w:color w:val="808080" w:themeColor="background1" w:themeShade="80"/>
          <w:szCs w:val="24"/>
          <w:lang w:val="en-US"/>
        </w:rPr>
        <w:t>U</w:t>
      </w:r>
      <w:r w:rsidR="005E1096" w:rsidRPr="002A1594">
        <w:rPr>
          <w:color w:val="808080" w:themeColor="background1" w:themeShade="80"/>
          <w:szCs w:val="24"/>
          <w:lang w:val="en-US"/>
        </w:rPr>
        <w:t>zupełniająca</w:t>
      </w:r>
      <w:r w:rsidR="005E1096" w:rsidRPr="002A1594">
        <w:rPr>
          <w:color w:val="808080" w:themeColor="background1" w:themeShade="80"/>
          <w:szCs w:val="24"/>
          <w:lang w:val="en-US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2A1594">
        <w:rPr>
          <w:lang w:val="en-US"/>
        </w:rPr>
        <w:instrText xml:space="preserve"> FORMTEXT </w:instrText>
      </w:r>
      <w:r w:rsidR="009F22E0" w:rsidRPr="009F22E0">
        <w:fldChar w:fldCharType="separate"/>
      </w:r>
      <w:r w:rsidR="009207A1" w:rsidRPr="009207A1">
        <w:rPr>
          <w:lang w:val="en-US"/>
        </w:rPr>
        <w:t xml:space="preserve">S. Greco, M. Kadziński, V. Mousseau, R. Słowiński, ELECTRE^GKMS: Robust Ordinal Regression for Outranking Methods, European Journal of Operational Research, 214 (2011) 118-135; http://dx.doi.org/10.1016/j.ejor.2011.03.045 </w:t>
      </w:r>
    </w:p>
    <w:p w14:paraId="51C62B71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 xml:space="preserve">S. Greco, M. Kadziński, V. Mousseau, R. Słowiński,  Robust Ordinal Regression for Multiple Criteria Group Decision: UTA^GMS-GROUP and UTADIS^GMS-GROUP; Decision Support Systems, 52 (2012), 549–561; https://doi.org/10.1016/j.dss.2011.10.005 </w:t>
      </w:r>
    </w:p>
    <w:p w14:paraId="3A7D7DC5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>M.J. Osborne, An Introduction to Game Theory. Oxford University Press, 2004.</w:t>
      </w:r>
    </w:p>
    <w:p w14:paraId="7B4EC1BC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>A. Charnes, W.W. Cooper, A.Y. Lewin, L.M. Seiford, Data Envelopment Analysis: Theory, Methodology, and Applications, Springer, Netherlands, 1994.</w:t>
      </w:r>
    </w:p>
    <w:p w14:paraId="176B3AF7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>M. Kadziński, A. Labijak, M. Napieraj, Integrated framework for robustness analysis using ratio-based efficiency model with application to evaluation of Polish airports, Omega 67, 1-18, 2017.</w:t>
      </w:r>
    </w:p>
    <w:p w14:paraId="07C1DE57" w14:textId="77777777" w:rsidR="009207A1" w:rsidRPr="009207A1" w:rsidRDefault="009207A1" w:rsidP="009207A1">
      <w:pPr>
        <w:rPr>
          <w:lang w:val="en-US"/>
        </w:rPr>
      </w:pPr>
      <w:r w:rsidRPr="009207A1">
        <w:rPr>
          <w:lang w:val="en-US"/>
        </w:rPr>
        <w:t>M. Tomczyk, M. Kadziński, Decomposition-based interactive evolutionary algorithm for multiple objective optimization, IEEE Transactions on Evolutionary Computation, 24(2), 320-334, 2020.</w:t>
      </w:r>
    </w:p>
    <w:p w14:paraId="57B5A2C8" w14:textId="1FA34DA8" w:rsidR="005E1096" w:rsidRPr="002A1594" w:rsidRDefault="009207A1" w:rsidP="009207A1">
      <w:pPr>
        <w:rPr>
          <w:rStyle w:val="Poleformualrza"/>
          <w:sz w:val="24"/>
          <w:szCs w:val="24"/>
          <w:lang w:val="en-US"/>
        </w:rPr>
      </w:pPr>
      <w:r w:rsidRPr="009207A1">
        <w:rPr>
          <w:lang w:val="en-US"/>
        </w:rPr>
        <w:t>J. Liu, M. Kadziński, X. Liao, X. Mao, Data-driven preference learning methods for value-driven multiple criteria sorting with interacting criteria, INFORMS Journal on Computing, 2021.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1EA99BEE" w:rsidR="005E1096" w:rsidRPr="0053341E" w:rsidRDefault="009F22E0" w:rsidP="00E076F9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00CD6">
              <w:t>1</w:t>
            </w:r>
            <w:r w:rsidR="00E076F9">
              <w:t>25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594361D9" w:rsidR="005E1096" w:rsidRPr="0053341E" w:rsidRDefault="00A825B3" w:rsidP="00B00CD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53E22">
              <w:t>5,0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06C2BFBA" w:rsidR="005E1096" w:rsidRPr="0053341E" w:rsidRDefault="009F22E0" w:rsidP="00E076F9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76F9">
              <w:t>6</w:t>
            </w:r>
            <w:r w:rsidR="0098717D">
              <w:t>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1B9DA668" w:rsidR="005E1096" w:rsidRPr="0053341E" w:rsidRDefault="00A825B3" w:rsidP="003807B6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00CD6">
              <w:t>3</w:t>
            </w:r>
            <w:r w:rsidR="004B4EC5">
              <w:t>,0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78BE98DB" w:rsidR="005E1096" w:rsidRPr="0053341E" w:rsidRDefault="009F22E0" w:rsidP="00B54193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54193">
              <w:t xml:space="preserve">Praca własna studenta (przygotowanie do laboratoriów, przygotowanie do zaliczeń i egzaminu, przygotowanie sprawozdań) 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75DF0C91" w:rsidR="005E1096" w:rsidRPr="0053341E" w:rsidRDefault="009F22E0" w:rsidP="00E076F9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00CD6">
              <w:t>6</w:t>
            </w:r>
            <w:r w:rsidR="00E076F9">
              <w:t>5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5BB5724C" w:rsidR="005E1096" w:rsidRPr="0053341E" w:rsidRDefault="00A825B3" w:rsidP="006B1B8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1B8C">
              <w:t>2,0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ECAC0" w14:textId="77777777" w:rsidR="00632A8D" w:rsidRDefault="00632A8D" w:rsidP="00DE7E54">
      <w:pPr>
        <w:spacing w:after="0" w:line="240" w:lineRule="auto"/>
      </w:pPr>
      <w:r>
        <w:separator/>
      </w:r>
    </w:p>
  </w:endnote>
  <w:endnote w:type="continuationSeparator" w:id="0">
    <w:p w14:paraId="6872A80A" w14:textId="77777777" w:rsidR="00632A8D" w:rsidRDefault="00632A8D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9B51BC" w:rsidRDefault="009B51B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94B68">
      <w:rPr>
        <w:noProof/>
      </w:rPr>
      <w:t>1</w:t>
    </w:r>
    <w:r>
      <w:fldChar w:fldCharType="end"/>
    </w:r>
  </w:p>
  <w:p w14:paraId="2F5090F6" w14:textId="77777777" w:rsidR="009B51BC" w:rsidRDefault="009B51BC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9B51BC" w:rsidRDefault="009B51BC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9B51BC" w:rsidRPr="00820B3E" w:rsidRDefault="009B51BC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9B51BC" w:rsidRPr="00820B3E" w:rsidRDefault="009B51BC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9B51BC" w:rsidRPr="00820B3E" w:rsidRDefault="009B51BC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9B51BC" w:rsidRDefault="009B51BC">
    <w:pPr>
      <w:pStyle w:val="Nagwek"/>
    </w:pPr>
  </w:p>
  <w:p w14:paraId="24CC9E16" w14:textId="77777777" w:rsidR="009B51BC" w:rsidRDefault="009B51BC"/>
  <w:p w14:paraId="58D97AD2" w14:textId="77777777" w:rsidR="009B51BC" w:rsidRDefault="009B51B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49B969" w14:textId="77777777" w:rsidR="009B51BC" w:rsidRDefault="009B51BC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93987" w14:textId="77777777" w:rsidR="00632A8D" w:rsidRDefault="00632A8D" w:rsidP="00DE7E54">
      <w:pPr>
        <w:spacing w:after="0" w:line="240" w:lineRule="auto"/>
      </w:pPr>
      <w:r>
        <w:separator/>
      </w:r>
    </w:p>
  </w:footnote>
  <w:footnote w:type="continuationSeparator" w:id="0">
    <w:p w14:paraId="5F67EAA1" w14:textId="77777777" w:rsidR="00632A8D" w:rsidRDefault="00632A8D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9B51BC" w:rsidRDefault="009B51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9B51BC" w:rsidRPr="00F302AE" w:rsidRDefault="009B51BC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1ECD"/>
    <w:rsid w:val="00022474"/>
    <w:rsid w:val="00023E7F"/>
    <w:rsid w:val="0004073D"/>
    <w:rsid w:val="00043205"/>
    <w:rsid w:val="00044237"/>
    <w:rsid w:val="000541DD"/>
    <w:rsid w:val="0006356F"/>
    <w:rsid w:val="000B41F7"/>
    <w:rsid w:val="000C4F14"/>
    <w:rsid w:val="0011275C"/>
    <w:rsid w:val="001441E9"/>
    <w:rsid w:val="00191FB5"/>
    <w:rsid w:val="001C3A9C"/>
    <w:rsid w:val="001E3210"/>
    <w:rsid w:val="001E6DDE"/>
    <w:rsid w:val="001F11F2"/>
    <w:rsid w:val="001F512F"/>
    <w:rsid w:val="00200447"/>
    <w:rsid w:val="00203A12"/>
    <w:rsid w:val="00211276"/>
    <w:rsid w:val="002156D2"/>
    <w:rsid w:val="00243421"/>
    <w:rsid w:val="0027795C"/>
    <w:rsid w:val="00281DBC"/>
    <w:rsid w:val="002A1594"/>
    <w:rsid w:val="002A36E5"/>
    <w:rsid w:val="002B2D95"/>
    <w:rsid w:val="002C18F3"/>
    <w:rsid w:val="002C407E"/>
    <w:rsid w:val="002C4874"/>
    <w:rsid w:val="002D50A1"/>
    <w:rsid w:val="002E457A"/>
    <w:rsid w:val="00301C36"/>
    <w:rsid w:val="00313388"/>
    <w:rsid w:val="00313A9E"/>
    <w:rsid w:val="00315557"/>
    <w:rsid w:val="00315E02"/>
    <w:rsid w:val="00326820"/>
    <w:rsid w:val="00352EC7"/>
    <w:rsid w:val="00361008"/>
    <w:rsid w:val="00362263"/>
    <w:rsid w:val="0036738B"/>
    <w:rsid w:val="0037609B"/>
    <w:rsid w:val="003807B6"/>
    <w:rsid w:val="0038747A"/>
    <w:rsid w:val="003B7636"/>
    <w:rsid w:val="004038C2"/>
    <w:rsid w:val="00403EFE"/>
    <w:rsid w:val="004204CA"/>
    <w:rsid w:val="004261C8"/>
    <w:rsid w:val="00431FAD"/>
    <w:rsid w:val="00443C59"/>
    <w:rsid w:val="00454581"/>
    <w:rsid w:val="004717DA"/>
    <w:rsid w:val="004B4EC5"/>
    <w:rsid w:val="004B63B7"/>
    <w:rsid w:val="004F273C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794"/>
    <w:rsid w:val="005D1FD0"/>
    <w:rsid w:val="005E1096"/>
    <w:rsid w:val="005E25F6"/>
    <w:rsid w:val="005F36DC"/>
    <w:rsid w:val="006122D5"/>
    <w:rsid w:val="00632A8D"/>
    <w:rsid w:val="00643A57"/>
    <w:rsid w:val="00651869"/>
    <w:rsid w:val="006A3DD3"/>
    <w:rsid w:val="006B1B8C"/>
    <w:rsid w:val="006C0DE9"/>
    <w:rsid w:val="006C3028"/>
    <w:rsid w:val="006C7544"/>
    <w:rsid w:val="006D153A"/>
    <w:rsid w:val="006E0A46"/>
    <w:rsid w:val="006E1126"/>
    <w:rsid w:val="006E1255"/>
    <w:rsid w:val="00705297"/>
    <w:rsid w:val="00762097"/>
    <w:rsid w:val="007A08F0"/>
    <w:rsid w:val="007C0F0A"/>
    <w:rsid w:val="00800E78"/>
    <w:rsid w:val="00801B5E"/>
    <w:rsid w:val="00820B3E"/>
    <w:rsid w:val="00834CA8"/>
    <w:rsid w:val="008518EE"/>
    <w:rsid w:val="00861C7E"/>
    <w:rsid w:val="00894B68"/>
    <w:rsid w:val="00896FC7"/>
    <w:rsid w:val="008C26D1"/>
    <w:rsid w:val="00901644"/>
    <w:rsid w:val="00905D6D"/>
    <w:rsid w:val="009207A1"/>
    <w:rsid w:val="0092103A"/>
    <w:rsid w:val="00925F0C"/>
    <w:rsid w:val="00940543"/>
    <w:rsid w:val="0094386E"/>
    <w:rsid w:val="00954FBD"/>
    <w:rsid w:val="00963E3B"/>
    <w:rsid w:val="0098717D"/>
    <w:rsid w:val="009978E8"/>
    <w:rsid w:val="009B2AAE"/>
    <w:rsid w:val="009B51BC"/>
    <w:rsid w:val="009C17DD"/>
    <w:rsid w:val="009E76F9"/>
    <w:rsid w:val="009F17FD"/>
    <w:rsid w:val="009F22E0"/>
    <w:rsid w:val="009F757D"/>
    <w:rsid w:val="00A14D86"/>
    <w:rsid w:val="00A1785A"/>
    <w:rsid w:val="00A42272"/>
    <w:rsid w:val="00A53E22"/>
    <w:rsid w:val="00A820ED"/>
    <w:rsid w:val="00A825B3"/>
    <w:rsid w:val="00A863C3"/>
    <w:rsid w:val="00A870DC"/>
    <w:rsid w:val="00A93F6C"/>
    <w:rsid w:val="00AA06D0"/>
    <w:rsid w:val="00AB2FBE"/>
    <w:rsid w:val="00AE2CC4"/>
    <w:rsid w:val="00B00CD6"/>
    <w:rsid w:val="00B20F50"/>
    <w:rsid w:val="00B225A8"/>
    <w:rsid w:val="00B53095"/>
    <w:rsid w:val="00B54193"/>
    <w:rsid w:val="00B71A9E"/>
    <w:rsid w:val="00BA590A"/>
    <w:rsid w:val="00C27A9C"/>
    <w:rsid w:val="00C31343"/>
    <w:rsid w:val="00C4681D"/>
    <w:rsid w:val="00C56F36"/>
    <w:rsid w:val="00C57359"/>
    <w:rsid w:val="00C8179A"/>
    <w:rsid w:val="00C832CD"/>
    <w:rsid w:val="00CA635F"/>
    <w:rsid w:val="00CC0A2D"/>
    <w:rsid w:val="00CC702B"/>
    <w:rsid w:val="00CE679E"/>
    <w:rsid w:val="00CF60B8"/>
    <w:rsid w:val="00D07722"/>
    <w:rsid w:val="00D24F8A"/>
    <w:rsid w:val="00D35EDE"/>
    <w:rsid w:val="00D369BB"/>
    <w:rsid w:val="00D63A0D"/>
    <w:rsid w:val="00D708F1"/>
    <w:rsid w:val="00D725D4"/>
    <w:rsid w:val="00D8589A"/>
    <w:rsid w:val="00DD50EA"/>
    <w:rsid w:val="00DE7E54"/>
    <w:rsid w:val="00E076F9"/>
    <w:rsid w:val="00E2005A"/>
    <w:rsid w:val="00E26461"/>
    <w:rsid w:val="00E75361"/>
    <w:rsid w:val="00E8322A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A8A0-7CED-704C-B4D4-43B80F5A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2324</Words>
  <Characters>13947</Characters>
  <Application>Microsoft Macintosh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3</cp:revision>
  <cp:lastPrinted>2019-12-05T13:22:00Z</cp:lastPrinted>
  <dcterms:created xsi:type="dcterms:W3CDTF">2022-10-15T11:50:00Z</dcterms:created>
  <dcterms:modified xsi:type="dcterms:W3CDTF">2022-10-27T19:20:00Z</dcterms:modified>
</cp:coreProperties>
</file>